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96A8B" w14:textId="77777777" w:rsidR="008D02A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6A3C11">
        <w:rPr>
          <w:rFonts w:ascii="Arial" w:eastAsia="SimSun" w:hAnsi="Arial" w:cs="Times New Roman"/>
          <w:b/>
          <w:sz w:val="24"/>
          <w:szCs w:val="20"/>
        </w:rPr>
        <w:t xml:space="preserve">5 </w:t>
      </w:r>
      <w:r w:rsidRPr="00EF698B">
        <w:rPr>
          <w:rFonts w:ascii="Arial" w:eastAsia="SimSun" w:hAnsi="Arial" w:cs="Times New Roman"/>
          <w:b/>
          <w:bCs/>
          <w:sz w:val="24"/>
          <w:szCs w:val="20"/>
        </w:rPr>
        <w:tab/>
      </w:r>
      <w:r w:rsidR="008D02AD" w:rsidRPr="008D02AD">
        <w:rPr>
          <w:rFonts w:ascii="Arial" w:eastAsia="SimSun" w:hAnsi="Arial" w:cs="Times New Roman"/>
          <w:b/>
          <w:bCs/>
          <w:sz w:val="24"/>
          <w:szCs w:val="20"/>
          <w:lang w:eastAsia="ja-JP"/>
        </w:rPr>
        <w:t>R4-2218932</w:t>
      </w:r>
    </w:p>
    <w:p w14:paraId="567414EB" w14:textId="1A4AD0D0" w:rsidR="00841BCD" w:rsidRPr="00EF698B" w:rsidRDefault="009B7C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151EF">
        <w:rPr>
          <w:rFonts w:ascii="Arial" w:eastAsia="SimSun" w:hAnsi="Arial" w:cs="Times New Roman"/>
          <w:b/>
          <w:sz w:val="24"/>
          <w:szCs w:val="20"/>
        </w:rPr>
        <w:t>Toulouse</w:t>
      </w:r>
      <w:r w:rsidR="007626B7" w:rsidRPr="000151EF">
        <w:rPr>
          <w:rFonts w:ascii="Arial" w:eastAsia="SimSun" w:hAnsi="Arial" w:cs="Times New Roman"/>
          <w:b/>
          <w:sz w:val="24"/>
          <w:szCs w:val="20"/>
        </w:rPr>
        <w:t>, France</w:t>
      </w:r>
      <w:r w:rsidR="005C23A4" w:rsidRPr="000151EF">
        <w:rPr>
          <w:rFonts w:ascii="Arial" w:eastAsia="SimSun" w:hAnsi="Arial" w:cs="Times New Roman"/>
          <w:b/>
          <w:sz w:val="24"/>
          <w:szCs w:val="20"/>
        </w:rPr>
        <w:t xml:space="preserve">, </w:t>
      </w:r>
      <w:r w:rsidR="006A3C11"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E6D09" w:rsidRPr="000151EF">
        <w:rPr>
          <w:rFonts w:ascii="Arial" w:eastAsia="SimSun" w:hAnsi="Arial" w:cs="Times New Roman"/>
          <w:b/>
          <w:sz w:val="24"/>
          <w:szCs w:val="20"/>
        </w:rPr>
        <w:t>1</w:t>
      </w:r>
      <w:r w:rsidR="007B186C" w:rsidRPr="000151EF">
        <w:rPr>
          <w:rFonts w:ascii="Arial" w:eastAsia="SimSun" w:hAnsi="Arial" w:cs="Times New Roman"/>
          <w:b/>
          <w:sz w:val="24"/>
          <w:szCs w:val="20"/>
        </w:rPr>
        <w:t>4</w:t>
      </w:r>
      <w:r w:rsidR="00A04992" w:rsidRPr="000151EF">
        <w:rPr>
          <w:rFonts w:ascii="Arial" w:eastAsia="SimSun" w:hAnsi="Arial" w:cs="Times New Roman"/>
          <w:b/>
          <w:sz w:val="24"/>
          <w:szCs w:val="20"/>
        </w:rPr>
        <w:t xml:space="preserve"> – </w:t>
      </w:r>
      <w:r w:rsidR="007626B7" w:rsidRPr="000151EF">
        <w:rPr>
          <w:rFonts w:ascii="Arial" w:eastAsia="SimSun" w:hAnsi="Arial" w:cs="Times New Roman"/>
          <w:b/>
          <w:sz w:val="24"/>
          <w:szCs w:val="20"/>
        </w:rPr>
        <w:t>November</w:t>
      </w:r>
      <w:r w:rsidR="00A04992" w:rsidRPr="000151EF">
        <w:rPr>
          <w:rFonts w:ascii="Arial" w:eastAsia="SimSun" w:hAnsi="Arial" w:cs="Times New Roman"/>
          <w:b/>
          <w:sz w:val="24"/>
          <w:szCs w:val="20"/>
        </w:rPr>
        <w:t xml:space="preserve"> </w:t>
      </w:r>
      <w:r w:rsidR="00A147AA" w:rsidRPr="000151EF">
        <w:rPr>
          <w:rFonts w:ascii="Arial" w:eastAsia="SimSun" w:hAnsi="Arial" w:cs="Times New Roman"/>
          <w:b/>
          <w:sz w:val="24"/>
          <w:szCs w:val="20"/>
        </w:rPr>
        <w:t>1</w:t>
      </w:r>
      <w:r w:rsidR="007B186C" w:rsidRPr="000151EF">
        <w:rPr>
          <w:rFonts w:ascii="Arial" w:eastAsia="SimSun" w:hAnsi="Arial" w:cs="Times New Roman"/>
          <w:b/>
          <w:sz w:val="24"/>
          <w:szCs w:val="20"/>
        </w:rPr>
        <w:t>8</w:t>
      </w:r>
      <w:r w:rsidR="00A04992" w:rsidRPr="000151EF">
        <w:rPr>
          <w:rFonts w:ascii="Arial" w:eastAsia="SimSun" w:hAnsi="Arial" w:cs="Times New Roman"/>
          <w:b/>
          <w:sz w:val="24"/>
          <w:szCs w:val="20"/>
        </w:rPr>
        <w:t>, 2022</w:t>
      </w:r>
    </w:p>
    <w:bookmarkEnd w:id="0"/>
    <w:bookmarkEnd w:id="1"/>
    <w:p w14:paraId="3E535510"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DF30A8D"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FE87E7F" w14:textId="7AACB65A"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502C1E" w:rsidRPr="00502C1E">
        <w:rPr>
          <w:rFonts w:ascii="Arial" w:eastAsia="Calibri" w:hAnsi="Arial" w:cs="Arial"/>
          <w:b/>
          <w:bCs/>
          <w:sz w:val="24"/>
        </w:rPr>
        <w:t>Discussion on RRM performance requirements with CCA in FR2-2</w:t>
      </w:r>
    </w:p>
    <w:p w14:paraId="6549753F" w14:textId="19EF0C06" w:rsidR="00841BCD" w:rsidRPr="00AE3F7C" w:rsidRDefault="00841BCD" w:rsidP="00841BCD">
      <w:pPr>
        <w:tabs>
          <w:tab w:val="left" w:pos="1985"/>
        </w:tabs>
        <w:spacing w:after="120" w:line="240" w:lineRule="auto"/>
        <w:rPr>
          <w:rFonts w:ascii="Arial" w:eastAsia="MS Mincho" w:hAnsi="Arial" w:cs="Arial"/>
          <w:b/>
          <w:sz w:val="24"/>
          <w:szCs w:val="20"/>
          <w:lang w:val="pt-BR"/>
        </w:rPr>
      </w:pPr>
      <w:r w:rsidRPr="00AE3F7C">
        <w:rPr>
          <w:rFonts w:ascii="Arial" w:eastAsia="MS Mincho" w:hAnsi="Arial" w:cs="Arial"/>
          <w:b/>
          <w:sz w:val="24"/>
          <w:szCs w:val="20"/>
          <w:lang w:val="pt-BR"/>
        </w:rPr>
        <w:t>Agenda item:</w:t>
      </w:r>
      <w:r w:rsidRPr="00AE3F7C">
        <w:rPr>
          <w:rFonts w:ascii="Arial" w:eastAsia="MS Mincho" w:hAnsi="Arial" w:cs="Arial"/>
          <w:b/>
          <w:sz w:val="24"/>
          <w:szCs w:val="20"/>
          <w:lang w:val="pt-BR"/>
        </w:rPr>
        <w:tab/>
      </w:r>
      <w:r w:rsidR="008D02AD" w:rsidRPr="008D02AD">
        <w:rPr>
          <w:rFonts w:ascii="Arial" w:eastAsia="MS Mincho" w:hAnsi="Arial" w:cs="Arial"/>
          <w:b/>
          <w:sz w:val="24"/>
          <w:szCs w:val="20"/>
          <w:lang w:val="pt-BR"/>
        </w:rPr>
        <w:t>6.3.5.1</w:t>
      </w:r>
    </w:p>
    <w:p w14:paraId="4E23EB0C" w14:textId="77777777" w:rsidR="00D66188" w:rsidRPr="008C1AF3" w:rsidRDefault="00841BCD" w:rsidP="00841BCD">
      <w:pPr>
        <w:tabs>
          <w:tab w:val="left" w:pos="1985"/>
        </w:tabs>
        <w:rPr>
          <w:rFonts w:ascii="Arial" w:eastAsia="Calibri" w:hAnsi="Arial" w:cs="Arial"/>
          <w:b/>
          <w:bCs/>
          <w:sz w:val="24"/>
          <w:lang w:val="pt-BR"/>
        </w:rPr>
      </w:pPr>
      <w:proofErr w:type="spellStart"/>
      <w:r w:rsidRPr="008C1AF3">
        <w:rPr>
          <w:rFonts w:ascii="Arial" w:eastAsia="Calibri" w:hAnsi="Arial" w:cs="Arial"/>
          <w:b/>
          <w:bCs/>
          <w:sz w:val="24"/>
          <w:lang w:val="pt-BR"/>
        </w:rPr>
        <w:t>Document</w:t>
      </w:r>
      <w:proofErr w:type="spellEnd"/>
      <w:r w:rsidRPr="008C1AF3">
        <w:rPr>
          <w:rFonts w:ascii="Arial" w:eastAsia="Calibri" w:hAnsi="Arial" w:cs="Arial"/>
          <w:b/>
          <w:bCs/>
          <w:sz w:val="24"/>
          <w:lang w:val="pt-BR"/>
        </w:rPr>
        <w:t xml:space="preserve"> for:</w:t>
      </w:r>
      <w:r w:rsidRPr="008C1AF3">
        <w:rPr>
          <w:rFonts w:ascii="Arial" w:eastAsia="Calibri" w:hAnsi="Arial" w:cs="Arial"/>
          <w:b/>
          <w:bCs/>
          <w:sz w:val="24"/>
          <w:lang w:val="pt-BR"/>
        </w:rPr>
        <w:tab/>
      </w:r>
      <w:r w:rsidR="00AE6D09" w:rsidRPr="008C1AF3">
        <w:rPr>
          <w:rFonts w:ascii="Arial" w:eastAsia="Calibri" w:hAnsi="Arial" w:cs="Arial"/>
          <w:b/>
          <w:bCs/>
          <w:sz w:val="24"/>
          <w:lang w:val="pt-BR"/>
        </w:rPr>
        <w:t>Discussion</w:t>
      </w:r>
    </w:p>
    <w:p w14:paraId="52FCFA2F" w14:textId="77777777" w:rsidR="00841BCD"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575FE61F" w14:textId="0EE466F6" w:rsidR="00564A23" w:rsidRDefault="00564A23" w:rsidP="00564A23">
      <w:r>
        <w:t>In RAN4 #104-bis-e, RAN4 discussed the DL LBT model in FR2-2. The following options were captured in the way forward</w:t>
      </w:r>
      <w:r w:rsidR="00AF6B26">
        <w:t xml:space="preserve"> as a tentative agreement</w:t>
      </w:r>
      <w:r w:rsidR="000252F8">
        <w:t xml:space="preserve"> </w:t>
      </w:r>
      <w:r w:rsidR="000252F8">
        <w:fldChar w:fldCharType="begin"/>
      </w:r>
      <w:r w:rsidR="000252F8">
        <w:instrText xml:space="preserve"> REF _Ref117677987 \r \h </w:instrText>
      </w:r>
      <w:r w:rsidR="000252F8">
        <w:fldChar w:fldCharType="separate"/>
      </w:r>
      <w:r w:rsidR="000252F8">
        <w:t>[1]</w:t>
      </w:r>
      <w:r w:rsidR="000252F8">
        <w:fldChar w:fldCharType="end"/>
      </w:r>
      <w:r>
        <w:t xml:space="preserve">: </w:t>
      </w:r>
    </w:p>
    <w:tbl>
      <w:tblPr>
        <w:tblStyle w:val="TableGrid"/>
        <w:tblW w:w="0" w:type="auto"/>
        <w:tblLook w:val="04A0" w:firstRow="1" w:lastRow="0" w:firstColumn="1" w:lastColumn="0" w:noHBand="0" w:noVBand="1"/>
      </w:tblPr>
      <w:tblGrid>
        <w:gridCol w:w="9617"/>
      </w:tblGrid>
      <w:tr w:rsidR="00AF6B26" w14:paraId="1C5D9CCB" w14:textId="77777777" w:rsidTr="00AF6B26">
        <w:tc>
          <w:tcPr>
            <w:tcW w:w="9617" w:type="dxa"/>
          </w:tcPr>
          <w:p w14:paraId="6E5CEACF" w14:textId="77777777" w:rsidR="00272697" w:rsidRPr="00272697" w:rsidRDefault="00272697" w:rsidP="00272697">
            <w:pPr>
              <w:rPr>
                <w:lang w:val="en-GB"/>
              </w:rPr>
            </w:pPr>
            <w:r w:rsidRPr="00272697">
              <w:rPr>
                <w:lang w:val="en-GB"/>
              </w:rPr>
              <w:t>Sub-topic 1-2: CCA aspects</w:t>
            </w:r>
          </w:p>
          <w:p w14:paraId="7DA8FB09" w14:textId="77777777" w:rsidR="00272697" w:rsidRPr="00272697" w:rsidRDefault="00272697" w:rsidP="00272697">
            <w:pPr>
              <w:rPr>
                <w:lang w:val="en-GB"/>
              </w:rPr>
            </w:pPr>
            <w:r w:rsidRPr="00272697">
              <w:rPr>
                <w:b/>
                <w:bCs/>
                <w:lang w:val="en-GB"/>
              </w:rPr>
              <w:t xml:space="preserve">Tentative agreement: </w:t>
            </w:r>
            <w:r w:rsidRPr="00272697">
              <w:rPr>
                <w:lang w:val="en-GB"/>
              </w:rPr>
              <w:t>For DL CCA model in FR2-2 test cases:</w:t>
            </w:r>
          </w:p>
          <w:p w14:paraId="56B38194" w14:textId="77777777" w:rsidR="00272697" w:rsidRPr="00272697" w:rsidRDefault="00272697" w:rsidP="00272697">
            <w:pPr>
              <w:numPr>
                <w:ilvl w:val="0"/>
                <w:numId w:val="32"/>
              </w:numPr>
              <w:rPr>
                <w:lang w:val="en-GB"/>
              </w:rPr>
            </w:pPr>
            <w:r w:rsidRPr="00272697">
              <w:rPr>
                <w:lang w:val="en-GB"/>
              </w:rPr>
              <w:t>TE picks one SSB occasion out of a group of each 12 consecutive SSB/SMTC occasions</w:t>
            </w:r>
          </w:p>
          <w:p w14:paraId="3F7EE79A" w14:textId="77777777" w:rsidR="00272697" w:rsidRPr="00272697" w:rsidRDefault="00272697" w:rsidP="00272697">
            <w:pPr>
              <w:numPr>
                <w:ilvl w:val="0"/>
                <w:numId w:val="32"/>
              </w:numPr>
              <w:rPr>
                <w:lang w:val="en-GB"/>
              </w:rPr>
            </w:pPr>
            <w:r w:rsidRPr="00272697">
              <w:rPr>
                <w:lang w:val="en-GB"/>
              </w:rPr>
              <w:t>For this SSB, TE determines with probability P</w:t>
            </w:r>
            <w:r w:rsidRPr="00272697">
              <w:rPr>
                <w:vertAlign w:val="subscript"/>
                <w:lang w:val="en-GB"/>
              </w:rPr>
              <w:t>CCA_DL</w:t>
            </w:r>
            <w:r w:rsidRPr="00272697">
              <w:rPr>
                <w:lang w:val="en-GB"/>
              </w:rPr>
              <w:t xml:space="preserve"> whether to transmit this SSB or not. Note that other 11 SSBs shall be transmitted by the gNB</w:t>
            </w:r>
          </w:p>
          <w:p w14:paraId="0287DAD0" w14:textId="77777777" w:rsidR="00272697" w:rsidRPr="00272697" w:rsidRDefault="00272697" w:rsidP="00272697">
            <w:pPr>
              <w:numPr>
                <w:ilvl w:val="0"/>
                <w:numId w:val="32"/>
              </w:numPr>
              <w:rPr>
                <w:lang w:val="en-GB"/>
              </w:rPr>
            </w:pPr>
            <w:r w:rsidRPr="00272697">
              <w:rPr>
                <w:lang w:val="en-GB"/>
              </w:rPr>
              <w:t>If the TE decides not to transmit the SSB, one SSB index should be selected based on a fixed pattern that is not transmitted in this SSB</w:t>
            </w:r>
          </w:p>
          <w:p w14:paraId="30E20533" w14:textId="77777777" w:rsidR="00272697" w:rsidRPr="00272697" w:rsidRDefault="00272697" w:rsidP="00272697">
            <w:pPr>
              <w:numPr>
                <w:ilvl w:val="0"/>
                <w:numId w:val="32"/>
              </w:numPr>
              <w:rPr>
                <w:lang w:val="en-GB"/>
              </w:rPr>
            </w:pPr>
            <w:r w:rsidRPr="00272697">
              <w:rPr>
                <w:lang w:val="en-GB"/>
              </w:rPr>
              <w:t>If this happens the whole SSB occasion group is considered as unavailable to the UE</w:t>
            </w:r>
          </w:p>
          <w:p w14:paraId="4EAEA0DA" w14:textId="77777777" w:rsidR="00AF6B26" w:rsidRPr="00272697" w:rsidRDefault="00AF6B26" w:rsidP="00564A23">
            <w:pPr>
              <w:rPr>
                <w:lang w:val="en-GB"/>
              </w:rPr>
            </w:pPr>
          </w:p>
        </w:tc>
      </w:tr>
    </w:tbl>
    <w:p w14:paraId="4B141526" w14:textId="77777777" w:rsidR="00AF6B26" w:rsidRDefault="00AF6B26" w:rsidP="00564A23"/>
    <w:p w14:paraId="24244A6B" w14:textId="05BFD300" w:rsidR="005535ED" w:rsidRPr="00564A23" w:rsidRDefault="005535ED" w:rsidP="00564A23">
      <w:r>
        <w:t xml:space="preserve">In this </w:t>
      </w:r>
      <w:r w:rsidR="0035108B">
        <w:t xml:space="preserve">document, </w:t>
      </w:r>
      <w:r>
        <w:t xml:space="preserve">the </w:t>
      </w:r>
      <w:r w:rsidR="00D64105">
        <w:t xml:space="preserve">DL </w:t>
      </w:r>
      <w:r w:rsidR="00470344">
        <w:t>CCA</w:t>
      </w:r>
      <w:r>
        <w:t xml:space="preserve"> model</w:t>
      </w:r>
      <w:r w:rsidR="0035108B">
        <w:t xml:space="preserve"> in FR2-2 is discussed.</w:t>
      </w:r>
    </w:p>
    <w:p w14:paraId="51FABCB1" w14:textId="77777777" w:rsidR="003B659E" w:rsidRPr="00EF698B" w:rsidRDefault="003B659E" w:rsidP="00AE56B1">
      <w:pPr>
        <w:pStyle w:val="RAN4H1"/>
        <w:rPr>
          <w:lang w:val="en-US"/>
        </w:rPr>
      </w:pPr>
      <w:bookmarkStart w:id="4" w:name="_Toc116995842"/>
      <w:r w:rsidRPr="00EF698B">
        <w:rPr>
          <w:lang w:val="en-US"/>
        </w:rPr>
        <w:t>Discussion</w:t>
      </w:r>
      <w:bookmarkEnd w:id="4"/>
    </w:p>
    <w:p w14:paraId="76BF412E" w14:textId="7B3474DF" w:rsidR="008A0675" w:rsidRDefault="008110D7" w:rsidP="008A0675">
      <w:pPr>
        <w:jc w:val="both"/>
      </w:pPr>
      <w:bookmarkStart w:id="5" w:name="_Toc116981541"/>
      <w:bookmarkStart w:id="6" w:name="_Toc116982824"/>
      <w:bookmarkStart w:id="7" w:name="_Toc116982859"/>
      <w:bookmarkStart w:id="8" w:name="_Toc116982882"/>
      <w:bookmarkStart w:id="9" w:name="_Toc116994710"/>
      <w:bookmarkStart w:id="10" w:name="_Toc116994823"/>
      <w:bookmarkStart w:id="11" w:name="_Toc116994895"/>
      <w:bookmarkStart w:id="12" w:name="_Toc116994909"/>
      <w:bookmarkStart w:id="13" w:name="_Toc116995098"/>
      <w:bookmarkStart w:id="14" w:name="_Toc116995141"/>
      <w:bookmarkStart w:id="15" w:name="_Toc116995897"/>
      <w:bookmarkStart w:id="16" w:name="_Toc116995923"/>
      <w:bookmarkStart w:id="17" w:name="_Toc116995943"/>
      <w:bookmarkStart w:id="18" w:name="_Toc116996063"/>
      <w:bookmarkStart w:id="19" w:name="_Toc116996084"/>
      <w:bookmarkStart w:id="20" w:name="_Toc116996089"/>
      <w:bookmarkStart w:id="21" w:name="_Toc116996131"/>
      <w:bookmarkStart w:id="22" w:name="_Toc116996431"/>
      <w:bookmarkStart w:id="23" w:name="_Toc116996752"/>
      <w:bookmarkStart w:id="24" w:name="_Toc116997065"/>
      <w:r>
        <w:t>Operation in unlicensed bands with CCA was introduced by 3GPP in Rel-16 NR-U.</w:t>
      </w:r>
      <w:r w:rsidR="008A0675">
        <w:t xml:space="preserve"> </w:t>
      </w:r>
      <w:proofErr w:type="gramStart"/>
      <w:r w:rsidR="008A0675">
        <w:t>In order to</w:t>
      </w:r>
      <w:proofErr w:type="gramEnd"/>
      <w:r w:rsidR="008A0675">
        <w:t xml:space="preserve"> be robust to LBT failure when sending </w:t>
      </w:r>
      <w:r w:rsidR="008A0675" w:rsidRPr="00CB4900">
        <w:t>SS/PBCH block</w:t>
      </w:r>
      <w:r w:rsidR="008A0675">
        <w:t xml:space="preserve"> (SSB) in NR-U, RAN1 has agreed </w:t>
      </w:r>
      <w:r w:rsidR="00175AF4">
        <w:t>Rel-16</w:t>
      </w:r>
      <w:r w:rsidR="00A236AF">
        <w:t xml:space="preserve"> </w:t>
      </w:r>
      <w:r w:rsidR="008A0675">
        <w:t xml:space="preserve">that there </w:t>
      </w:r>
      <w:r w:rsidR="00175AF4">
        <w:t>are</w:t>
      </w:r>
      <w:r w:rsidR="008A0675">
        <w:t xml:space="preserve"> multiple opportunities for sending the SSB, within a Discovery Reference Signal (DRS) Transmission window</w:t>
      </w:r>
      <w:r w:rsidR="00A236AF">
        <w:t xml:space="preserve">. </w:t>
      </w:r>
      <w:r w:rsidR="009C2DE0">
        <w:t>Within this Tx window, SSBs can be cycled to maximize the probability of sending the SSBs even under LBT failures.</w:t>
      </w:r>
      <w:r w:rsidR="00A4293A">
        <w:t xml:space="preserve"> </w:t>
      </w:r>
      <w:r w:rsidR="00A236AF">
        <w:t xml:space="preserve">These opportunities are </w:t>
      </w:r>
      <w:r w:rsidR="009C2DE0">
        <w:t>known as SSB candidate positions</w:t>
      </w:r>
      <w:r w:rsidR="00A4293A">
        <w:t>, and this concept is also part of the design of operation with CCA in FR2-2.</w:t>
      </w:r>
    </w:p>
    <w:p w14:paraId="08792761" w14:textId="3DEC01D9" w:rsidR="00341244" w:rsidRDefault="00341244" w:rsidP="008A0675">
      <w:pPr>
        <w:jc w:val="both"/>
      </w:pPr>
      <w:r>
        <w:t>In Rel-16, RAN4 captured the different candidate positions in TS 38.133</w:t>
      </w:r>
      <w:r w:rsidR="00257F22">
        <w:t xml:space="preserve"> in clause 9.2A </w:t>
      </w:r>
      <w:r>
        <w:t xml:space="preserve">as: </w:t>
      </w:r>
    </w:p>
    <w:tbl>
      <w:tblPr>
        <w:tblStyle w:val="TableGrid"/>
        <w:tblW w:w="0" w:type="auto"/>
        <w:tblLook w:val="04A0" w:firstRow="1" w:lastRow="0" w:firstColumn="1" w:lastColumn="0" w:noHBand="0" w:noVBand="1"/>
      </w:tblPr>
      <w:tblGrid>
        <w:gridCol w:w="9617"/>
      </w:tblGrid>
      <w:tr w:rsidR="00341244" w14:paraId="104351ED" w14:textId="77777777" w:rsidTr="00341244">
        <w:tc>
          <w:tcPr>
            <w:tcW w:w="9617" w:type="dxa"/>
          </w:tcPr>
          <w:p w14:paraId="2DAE327E" w14:textId="77777777" w:rsidR="00257F22" w:rsidRDefault="00257F22" w:rsidP="00257F22">
            <w:pPr>
              <w:pStyle w:val="B1"/>
              <w:ind w:left="0" w:firstLine="0"/>
            </w:pPr>
            <w:r>
              <w:t xml:space="preserve">In the requirements of clause 9.2A, the term SMTC occasion not available at the UE refers to when the SMTC contains SSBs configured by gNB in a cell on a carrier frequency subject to CCA, but </w:t>
            </w:r>
            <w:r>
              <w:rPr>
                <w:i/>
                <w:iCs/>
              </w:rPr>
              <w:t>N</w:t>
            </w:r>
            <w:r>
              <w:rPr>
                <w:i/>
                <w:iCs/>
                <w:vertAlign w:val="subscript"/>
              </w:rPr>
              <w:t>SSB</w:t>
            </w:r>
            <w:r>
              <w:t xml:space="preserve"> candidate SSB positions for the same SSB index within the discovery burst transmission window are not available at the UE due to DL CCA failures at gNB during the corresponding period, where:</w:t>
            </w:r>
          </w:p>
          <w:p w14:paraId="0ED3DF06" w14:textId="77777777" w:rsidR="00257F22" w:rsidRDefault="00257F22" w:rsidP="00257F22">
            <w:pPr>
              <w:pStyle w:val="B1"/>
            </w:pPr>
            <w:r>
              <w:t>-</w:t>
            </w:r>
            <w:r>
              <w:tab/>
              <w:t xml:space="preserve">For the cell detection procedure: </w:t>
            </w:r>
            <w:r>
              <w:rPr>
                <w:i/>
                <w:iCs/>
              </w:rPr>
              <w:t>N</w:t>
            </w:r>
            <w:r>
              <w:rPr>
                <w:i/>
                <w:iCs/>
                <w:vertAlign w:val="subscript"/>
              </w:rPr>
              <w:t>SSB</w:t>
            </w:r>
            <w:r>
              <w:t xml:space="preserve"> is at least one candidate SSB position (NOTE: the one candidate SSB position for the cell detection shall not be impacted by the set of </w:t>
            </w:r>
            <w:proofErr w:type="gramStart"/>
            <w:r>
              <w:t>candidate</w:t>
            </w:r>
            <w:proofErr w:type="gramEnd"/>
            <w:r>
              <w:t xml:space="preserve"> SSB positions which are already being measured by the UE within the current measurement period of the on-going measurements), and</w:t>
            </w:r>
          </w:p>
          <w:p w14:paraId="711F9516" w14:textId="77777777" w:rsidR="00257F22" w:rsidRDefault="00257F22" w:rsidP="00257F22">
            <w:pPr>
              <w:pStyle w:val="B1"/>
            </w:pPr>
            <w:r>
              <w:t>-</w:t>
            </w:r>
            <w:r>
              <w:tab/>
              <w:t xml:space="preserve">For other procedures in clause 9.2A: </w:t>
            </w:r>
            <w:r>
              <w:rPr>
                <w:i/>
                <w:iCs/>
              </w:rPr>
              <w:t>N</w:t>
            </w:r>
            <w:r>
              <w:rPr>
                <w:i/>
                <w:iCs/>
                <w:vertAlign w:val="subscript"/>
              </w:rPr>
              <w:t>SSB</w:t>
            </w:r>
            <w:r>
              <w:t xml:space="preserve"> are the first two successive candidate SSB positions when </w:t>
            </w:r>
            <w:r>
              <w:rPr>
                <w:lang w:val="en-US"/>
              </w:rPr>
              <w:t xml:space="preserve">two or more candidate SSB positions are configured for this SSB index in one discovery burst transmission window, otherwise </w:t>
            </w:r>
            <w:r>
              <w:rPr>
                <w:i/>
                <w:iCs/>
              </w:rPr>
              <w:t>N</w:t>
            </w:r>
            <w:r>
              <w:rPr>
                <w:i/>
                <w:iCs/>
                <w:vertAlign w:val="subscript"/>
              </w:rPr>
              <w:t>SSB</w:t>
            </w:r>
            <w:r>
              <w:t xml:space="preserve"> </w:t>
            </w:r>
            <w:r>
              <w:rPr>
                <w:lang w:val="en-US"/>
              </w:rPr>
              <w:t xml:space="preserve">is one candidate SSB </w:t>
            </w:r>
            <w:proofErr w:type="gramStart"/>
            <w:r>
              <w:rPr>
                <w:lang w:val="en-US"/>
              </w:rPr>
              <w:t>position</w:t>
            </w:r>
            <w:r>
              <w:t>;</w:t>
            </w:r>
            <w:proofErr w:type="gramEnd"/>
            <w:r>
              <w:t xml:space="preserve"> </w:t>
            </w:r>
          </w:p>
          <w:p w14:paraId="63A757C3" w14:textId="77777777" w:rsidR="00257F22" w:rsidRDefault="00257F22" w:rsidP="00257F22">
            <w:proofErr w:type="gramStart"/>
            <w:r w:rsidRPr="00584C64">
              <w:t>otherwise</w:t>
            </w:r>
            <w:proofErr w:type="gramEnd"/>
            <w:r w:rsidRPr="00584C64">
              <w:t xml:space="preserve"> the SMTC occasion is considered as available at the UE.</w:t>
            </w:r>
          </w:p>
          <w:p w14:paraId="5F3BB2B2" w14:textId="77777777" w:rsidR="00341244" w:rsidRDefault="00341244" w:rsidP="008A0675">
            <w:pPr>
              <w:jc w:val="both"/>
            </w:pPr>
          </w:p>
        </w:tc>
      </w:tr>
    </w:tbl>
    <w:p w14:paraId="579C0FAF" w14:textId="77777777" w:rsidR="00341244" w:rsidRDefault="00341244" w:rsidP="008A0675">
      <w:pPr>
        <w:jc w:val="both"/>
      </w:pPr>
    </w:p>
    <w:p w14:paraId="1E68E0A3" w14:textId="35A361E3" w:rsidR="007649B0" w:rsidRDefault="007649B0" w:rsidP="008A0675">
      <w:pPr>
        <w:jc w:val="both"/>
      </w:pPr>
      <w:r>
        <w:t xml:space="preserve">Therefore, </w:t>
      </w:r>
      <w:r w:rsidR="003F765E">
        <w:t>for procedures other than cell detection, a</w:t>
      </w:r>
      <w:r w:rsidR="008136A4">
        <w:t xml:space="preserve">n SMTC occasion is not available at the UE if </w:t>
      </w:r>
      <w:r w:rsidR="003F765E">
        <w:t xml:space="preserve">two successive candidate SSB positions </w:t>
      </w:r>
      <w:r w:rsidR="0078561E">
        <w:t xml:space="preserve">for the same SSB index </w:t>
      </w:r>
      <w:r w:rsidR="008136A4">
        <w:t>are subject to CCA failure.</w:t>
      </w:r>
    </w:p>
    <w:p w14:paraId="1D6C0692" w14:textId="7FA672BF" w:rsidR="002F6186" w:rsidRDefault="00AD242E" w:rsidP="00290A4D">
      <w:pPr>
        <w:pStyle w:val="RAN4observation0"/>
      </w:pPr>
      <w:bookmarkStart w:id="25" w:name="_Toc118719696"/>
      <w:r>
        <w:lastRenderedPageBreak/>
        <w:t xml:space="preserve">An SMTC occasion is not available at the UE if two successive candidate SSB positions </w:t>
      </w:r>
      <w:r w:rsidR="00D863C1">
        <w:t xml:space="preserve">for the same SSB index within </w:t>
      </w:r>
      <w:r w:rsidR="00291170">
        <w:t>a</w:t>
      </w:r>
      <w:r>
        <w:t xml:space="preserve">re </w:t>
      </w:r>
      <w:r w:rsidR="00291170">
        <w:t>not available at the UE</w:t>
      </w:r>
      <w:r>
        <w:t>.</w:t>
      </w:r>
      <w:bookmarkEnd w:id="25"/>
    </w:p>
    <w:p w14:paraId="6770C32E" w14:textId="77777777" w:rsidR="000A5352" w:rsidRDefault="000A5352" w:rsidP="000A5352">
      <w:pPr>
        <w:jc w:val="both"/>
      </w:pPr>
      <w:r>
        <w:t>In Figure 1, an example of SMTC occasions available and not available at the UE is presented, to illustrate the concepts of candidate positions and SMTC occasion. In each SMTC occasion, for simplicity, only 2 SSB indexes are considered. The numbers on top of the SSB index illustrate the candidate positions for each SSB. If the transmission of all SSB indexes is successful in the first candidate position, the gNB is not required to transmit the SSB in the second candidate position.</w:t>
      </w:r>
    </w:p>
    <w:p w14:paraId="41013C3D" w14:textId="77777777" w:rsidR="000A5352" w:rsidRPr="000A5352" w:rsidRDefault="000A5352" w:rsidP="000A5352">
      <w:pPr>
        <w:rPr>
          <w:lang w:val="en-GB"/>
        </w:rPr>
      </w:pPr>
    </w:p>
    <w:p w14:paraId="5CE5E3D9" w14:textId="5E5D766E" w:rsidR="00575AD5" w:rsidRDefault="00C32ADB" w:rsidP="00575AD5">
      <w:pPr>
        <w:keepNext/>
      </w:pPr>
      <w:r>
        <w:object w:dxaOrig="13261" w:dyaOrig="7461" w14:anchorId="6FF16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71pt" o:ole="">
            <v:imagedata r:id="rId8" o:title=""/>
          </v:shape>
          <o:OLEObject Type="Embed" ProgID="Visio.Drawing.15" ShapeID="_x0000_i1025" DrawAspect="Content" ObjectID="_1729355187" r:id="rId9"/>
        </w:object>
      </w:r>
    </w:p>
    <w:p w14:paraId="17FF39CD" w14:textId="37144FCA" w:rsidR="0062187A" w:rsidRPr="0062187A" w:rsidRDefault="00575AD5" w:rsidP="00575AD5">
      <w:pPr>
        <w:pStyle w:val="Caption"/>
        <w:rPr>
          <w:lang w:val="en-GB"/>
        </w:rPr>
      </w:pPr>
      <w:r>
        <w:t xml:space="preserve">Figure </w:t>
      </w:r>
      <w:r w:rsidR="00842941">
        <w:fldChar w:fldCharType="begin"/>
      </w:r>
      <w:r w:rsidR="00842941">
        <w:instrText xml:space="preserve"> SEQ Figure \* ARABIC </w:instrText>
      </w:r>
      <w:r w:rsidR="00842941">
        <w:fldChar w:fldCharType="separate"/>
      </w:r>
      <w:r w:rsidR="00A609D9">
        <w:rPr>
          <w:noProof/>
        </w:rPr>
        <w:t>1</w:t>
      </w:r>
      <w:r w:rsidR="00842941">
        <w:rPr>
          <w:noProof/>
        </w:rPr>
        <w:fldChar w:fldCharType="end"/>
      </w:r>
      <w:r>
        <w:t xml:space="preserve"> - Examples of SMTC occasions available and not available at the UE</w:t>
      </w:r>
    </w:p>
    <w:p w14:paraId="1CD5F932" w14:textId="14DD83EA" w:rsidR="00D07D14" w:rsidRDefault="000A5352" w:rsidP="008A0675">
      <w:pPr>
        <w:jc w:val="both"/>
        <w:rPr>
          <w:lang w:val="en-GB"/>
        </w:rPr>
      </w:pPr>
      <w:r>
        <w:rPr>
          <w:lang w:val="en-GB"/>
        </w:rPr>
        <w:t>Still in Figure 1, t</w:t>
      </w:r>
      <w:r w:rsidR="00B17C59">
        <w:rPr>
          <w:lang w:val="en-GB"/>
        </w:rPr>
        <w:t xml:space="preserve">he first two </w:t>
      </w:r>
      <w:r w:rsidR="00D07D14">
        <w:rPr>
          <w:lang w:val="en-GB"/>
        </w:rPr>
        <w:t>SMTC occasion</w:t>
      </w:r>
      <w:r w:rsidR="0069405C">
        <w:rPr>
          <w:lang w:val="en-GB"/>
        </w:rPr>
        <w:t>s</w:t>
      </w:r>
      <w:r w:rsidR="00D07D14">
        <w:rPr>
          <w:lang w:val="en-GB"/>
        </w:rPr>
        <w:t xml:space="preserve"> in the figure</w:t>
      </w:r>
      <w:r w:rsidR="0069405C">
        <w:rPr>
          <w:lang w:val="en-GB"/>
        </w:rPr>
        <w:t xml:space="preserve"> are available at the UE because either the first or the second candidate positions are available for all SSBs. The </w:t>
      </w:r>
      <w:r w:rsidR="00217A65">
        <w:rPr>
          <w:lang w:val="en-GB"/>
        </w:rPr>
        <w:t>last two SMTC occasions in the figure are not available at the UE because CCA fails for the transmission of at least 1 SSB index in both candidate positions.</w:t>
      </w:r>
    </w:p>
    <w:p w14:paraId="126A0C03" w14:textId="6F63B142" w:rsidR="008136A4" w:rsidRDefault="008136A4" w:rsidP="008A0675">
      <w:pPr>
        <w:jc w:val="both"/>
      </w:pPr>
      <w:r>
        <w:t xml:space="preserve">In FR2-2, this concept was </w:t>
      </w:r>
      <w:r w:rsidR="00291170">
        <w:t>extended</w:t>
      </w:r>
      <w:r>
        <w:t xml:space="preserve"> to take into account </w:t>
      </w:r>
      <w:r w:rsidR="00BA66C1">
        <w:t>the</w:t>
      </w:r>
      <w:r w:rsidR="00E817DE">
        <w:t xml:space="preserve"> Rx beam sweeping at the UE. The following has been agreed</w:t>
      </w:r>
      <w:r w:rsidR="0039344C">
        <w:t xml:space="preserve"> </w:t>
      </w:r>
      <w:r w:rsidR="0039344C">
        <w:fldChar w:fldCharType="begin"/>
      </w:r>
      <w:r w:rsidR="0039344C">
        <w:instrText xml:space="preserve"> REF _Ref117679017 \r \h </w:instrText>
      </w:r>
      <w:r w:rsidR="0039344C">
        <w:fldChar w:fldCharType="separate"/>
      </w:r>
      <w:r w:rsidR="0039344C">
        <w:t>[3]</w:t>
      </w:r>
      <w:r w:rsidR="0039344C">
        <w:fldChar w:fldCharType="end"/>
      </w:r>
      <w:r w:rsidR="00E817DE">
        <w:t xml:space="preserve">: </w:t>
      </w:r>
    </w:p>
    <w:tbl>
      <w:tblPr>
        <w:tblStyle w:val="TableGrid"/>
        <w:tblW w:w="0" w:type="auto"/>
        <w:tblLook w:val="04A0" w:firstRow="1" w:lastRow="0" w:firstColumn="1" w:lastColumn="0" w:noHBand="0" w:noVBand="1"/>
      </w:tblPr>
      <w:tblGrid>
        <w:gridCol w:w="9617"/>
      </w:tblGrid>
      <w:tr w:rsidR="00797F05" w14:paraId="788F871D" w14:textId="77777777" w:rsidTr="00797F05">
        <w:tc>
          <w:tcPr>
            <w:tcW w:w="9617" w:type="dxa"/>
          </w:tcPr>
          <w:p w14:paraId="5B4A58C5" w14:textId="77777777" w:rsidR="00797F05" w:rsidRDefault="00797F05" w:rsidP="00797F05">
            <w:pPr>
              <w:pStyle w:val="ListParagraph"/>
              <w:numPr>
                <w:ilvl w:val="0"/>
                <w:numId w:val="34"/>
              </w:numPr>
              <w:jc w:val="both"/>
            </w:pPr>
            <w:r w:rsidRPr="00797F05">
              <w:t>Use “FR2-2” term for all CCA related requirements in the spec since currently there is no CCA operation in FR2-1</w:t>
            </w:r>
          </w:p>
          <w:p w14:paraId="7C442424" w14:textId="1305867E" w:rsidR="00797F05" w:rsidRDefault="00797F05" w:rsidP="00797F05">
            <w:pPr>
              <w:pStyle w:val="ListParagraph"/>
              <w:numPr>
                <w:ilvl w:val="0"/>
                <w:numId w:val="34"/>
              </w:numPr>
              <w:jc w:val="both"/>
            </w:pPr>
            <w:r w:rsidRPr="00797F05">
              <w:t xml:space="preserve">The step of FR2-2 RRM requirements extension due to missed SMTC/SSB occasions is equal to N SMTC/SSB occasions, where N is RX beam sweeping scaling factor </w:t>
            </w:r>
          </w:p>
          <w:p w14:paraId="68348CC3" w14:textId="77777777" w:rsidR="00797F05" w:rsidRDefault="00797F05" w:rsidP="00797F05">
            <w:pPr>
              <w:pStyle w:val="ListParagraph"/>
              <w:numPr>
                <w:ilvl w:val="0"/>
                <w:numId w:val="34"/>
              </w:numPr>
              <w:jc w:val="both"/>
            </w:pPr>
            <w:r w:rsidRPr="00797F05">
              <w:t xml:space="preserve">The RRM requirements are extended by the number of SSB/SMTC occasions groups not available at UE. An SSB/SMTC occasions group consists of N consecutive SSB/SMTC occasions. An SSB/SMTC occasions group is not available, when at least one SSB/SMTC occasion in the group is not transmitted by the gNB. </w:t>
            </w:r>
          </w:p>
          <w:p w14:paraId="38E65D21" w14:textId="4CEF4A63" w:rsidR="00797F05" w:rsidRDefault="00797F05" w:rsidP="00797F05">
            <w:pPr>
              <w:pStyle w:val="ListParagraph"/>
              <w:numPr>
                <w:ilvl w:val="0"/>
                <w:numId w:val="34"/>
              </w:numPr>
              <w:jc w:val="both"/>
            </w:pPr>
            <w:r w:rsidRPr="002F6186">
              <w:rPr>
                <w:highlight w:val="yellow"/>
              </w:rPr>
              <w:t>The definition of SSB/SMTC occasion follows Rel-16 NR-U definition</w:t>
            </w:r>
          </w:p>
        </w:tc>
      </w:tr>
    </w:tbl>
    <w:p w14:paraId="57EE3189" w14:textId="77777777" w:rsidR="00797F05" w:rsidRDefault="00797F05" w:rsidP="008A0675">
      <w:pPr>
        <w:jc w:val="both"/>
      </w:pPr>
    </w:p>
    <w:p w14:paraId="5361B6EE" w14:textId="56D35708" w:rsidR="008110D7" w:rsidRPr="008A0675" w:rsidRDefault="00535156" w:rsidP="00535156">
      <w:pPr>
        <w:pStyle w:val="RAN4observation0"/>
        <w:rPr>
          <w:lang w:val="en-US"/>
        </w:rPr>
      </w:pPr>
      <w:bookmarkStart w:id="26" w:name="_Toc118719697"/>
      <w:r>
        <w:rPr>
          <w:lang w:val="en-US"/>
        </w:rPr>
        <w:t xml:space="preserve">In FR2-2, and SSB/SMTC occasion group </w:t>
      </w:r>
      <w:r w:rsidR="007F7C3E">
        <w:rPr>
          <w:lang w:val="en-US"/>
        </w:rPr>
        <w:t xml:space="preserve">consists of 12 consecutive SSB/SMTC occasions. An SSB/SMTC occasion group is not available at the UE when at least one SSB/SMTC occasion in the group is not </w:t>
      </w:r>
      <w:r w:rsidR="002F6186">
        <w:rPr>
          <w:lang w:val="en-US"/>
        </w:rPr>
        <w:t>transmitted by the gNB.</w:t>
      </w:r>
      <w:r w:rsidR="002A688D">
        <w:rPr>
          <w:lang w:val="en-US"/>
        </w:rPr>
        <w:t xml:space="preserve"> The definition of SSB/SMTC occasion follows NR-U definition.</w:t>
      </w:r>
      <w:bookmarkEnd w:id="26"/>
    </w:p>
    <w:p w14:paraId="1315E4C7" w14:textId="1DDBBC76" w:rsidR="008110D7" w:rsidRDefault="008110D7" w:rsidP="005535ED">
      <w:pPr>
        <w:pStyle w:val="RAN4observation0"/>
        <w:numPr>
          <w:ilvl w:val="0"/>
          <w:numId w:val="0"/>
        </w:numPr>
      </w:pPr>
    </w:p>
    <w:p w14:paraId="77673A83" w14:textId="09251E53" w:rsidR="007660EC" w:rsidRDefault="001F2EA9" w:rsidP="007660EC">
      <w:pPr>
        <w:keepNext/>
      </w:pPr>
      <w:r>
        <w:object w:dxaOrig="12851" w:dyaOrig="6251" w14:anchorId="51C8A572">
          <v:shape id="_x0000_i1026" type="#_x0000_t75" style="width:481.5pt;height:234pt" o:ole="">
            <v:imagedata r:id="rId10" o:title=""/>
          </v:shape>
          <o:OLEObject Type="Embed" ProgID="Visio.Drawing.15" ShapeID="_x0000_i1026" DrawAspect="Content" ObjectID="_1729355188" r:id="rId11"/>
        </w:object>
      </w:r>
    </w:p>
    <w:p w14:paraId="0F51F5DE" w14:textId="57864CDE" w:rsidR="00C56F24" w:rsidRPr="00C56F24" w:rsidRDefault="007660EC" w:rsidP="007660EC">
      <w:pPr>
        <w:pStyle w:val="Caption"/>
        <w:rPr>
          <w:lang w:val="en-GB"/>
        </w:rPr>
      </w:pPr>
      <w:r>
        <w:t xml:space="preserve">Figure </w:t>
      </w:r>
      <w:r w:rsidR="00842941">
        <w:fldChar w:fldCharType="begin"/>
      </w:r>
      <w:r w:rsidR="00842941">
        <w:instrText xml:space="preserve"> SEQ Figure \* ARABIC </w:instrText>
      </w:r>
      <w:r w:rsidR="00842941">
        <w:fldChar w:fldCharType="separate"/>
      </w:r>
      <w:r w:rsidR="00A609D9">
        <w:rPr>
          <w:noProof/>
        </w:rPr>
        <w:t>2</w:t>
      </w:r>
      <w:r w:rsidR="00842941">
        <w:rPr>
          <w:noProof/>
        </w:rPr>
        <w:fldChar w:fldCharType="end"/>
      </w:r>
      <w:r>
        <w:t xml:space="preserve"> - Examples of SMTC occasion groups available or not available at the UE</w:t>
      </w:r>
    </w:p>
    <w:p w14:paraId="506DE156" w14:textId="1D3B9314" w:rsidR="00B27726" w:rsidRDefault="00B27726" w:rsidP="00D747B4">
      <w:pPr>
        <w:rPr>
          <w:lang w:val="en-GB"/>
        </w:rPr>
      </w:pPr>
      <w:r>
        <w:rPr>
          <w:lang w:val="en-GB"/>
        </w:rPr>
        <w:t xml:space="preserve">Figure 2 illustrates the </w:t>
      </w:r>
      <w:r w:rsidR="009108E5">
        <w:rPr>
          <w:lang w:val="en-GB"/>
        </w:rPr>
        <w:t>operation in FR2-2</w:t>
      </w:r>
      <w:r w:rsidR="00423798">
        <w:rPr>
          <w:lang w:val="en-GB"/>
        </w:rPr>
        <w:t xml:space="preserve"> and shows one example of SMTC occasion group available at the UE – when all 12 consecutive SMTC occasions are available at the UE, and three examples of </w:t>
      </w:r>
      <w:r w:rsidR="009108E5">
        <w:rPr>
          <w:lang w:val="en-GB"/>
        </w:rPr>
        <w:t xml:space="preserve">SMTC occasion groups </w:t>
      </w:r>
      <w:r w:rsidR="00460096">
        <w:rPr>
          <w:lang w:val="en-GB"/>
        </w:rPr>
        <w:t>not available at the UE</w:t>
      </w:r>
      <w:r w:rsidR="009108E5">
        <w:rPr>
          <w:lang w:val="en-GB"/>
        </w:rPr>
        <w:t xml:space="preserve">. It also shows the relationship between the </w:t>
      </w:r>
      <w:r w:rsidR="00A21E93">
        <w:rPr>
          <w:lang w:val="en-GB"/>
        </w:rPr>
        <w:t>CCA failure in different candidate positions, the SMTC occasions and SMTC occasion groups.</w:t>
      </w:r>
    </w:p>
    <w:p w14:paraId="443D5020" w14:textId="7F4260A2" w:rsidR="00E506FD" w:rsidRDefault="00C73932" w:rsidP="00E506FD">
      <w:r>
        <w:rPr>
          <w:lang w:val="en-GB"/>
        </w:rPr>
        <w:t>With th</w:t>
      </w:r>
      <w:r w:rsidR="0081210D">
        <w:rPr>
          <w:lang w:val="en-GB"/>
        </w:rPr>
        <w:t>ese</w:t>
      </w:r>
      <w:r>
        <w:rPr>
          <w:lang w:val="en-GB"/>
        </w:rPr>
        <w:t xml:space="preserve"> definitions in mind, it is important to revisit previous agreements in RAN4</w:t>
      </w:r>
      <w:r w:rsidR="0081210D">
        <w:rPr>
          <w:lang w:val="en-GB"/>
        </w:rPr>
        <w:t xml:space="preserve"> </w:t>
      </w:r>
      <w:r>
        <w:rPr>
          <w:lang w:val="en-GB"/>
        </w:rPr>
        <w:t xml:space="preserve">regarding the CCA model. </w:t>
      </w:r>
      <w:r w:rsidR="00E506FD">
        <w:rPr>
          <w:lang w:val="en-GB"/>
        </w:rPr>
        <w:t>In</w:t>
      </w:r>
      <w:r w:rsidR="00E506FD">
        <w:t xml:space="preserve"> RAN4 #104-e, it was agreed that </w:t>
      </w:r>
      <w:r w:rsidR="00E506FD">
        <w:fldChar w:fldCharType="begin"/>
      </w:r>
      <w:r w:rsidR="00E506FD">
        <w:instrText xml:space="preserve"> REF _Ref117677993 \r \h </w:instrText>
      </w:r>
      <w:r w:rsidR="00E506FD">
        <w:fldChar w:fldCharType="separate"/>
      </w:r>
      <w:r w:rsidR="00E506FD">
        <w:t>[2]</w:t>
      </w:r>
      <w:r w:rsidR="00E506FD">
        <w:fldChar w:fldCharType="end"/>
      </w:r>
      <w:r w:rsidR="00E506FD">
        <w:t xml:space="preserve">: </w:t>
      </w:r>
    </w:p>
    <w:tbl>
      <w:tblPr>
        <w:tblStyle w:val="TableGrid"/>
        <w:tblW w:w="0" w:type="auto"/>
        <w:tblLook w:val="04A0" w:firstRow="1" w:lastRow="0" w:firstColumn="1" w:lastColumn="0" w:noHBand="0" w:noVBand="1"/>
      </w:tblPr>
      <w:tblGrid>
        <w:gridCol w:w="9617"/>
      </w:tblGrid>
      <w:tr w:rsidR="00E506FD" w14:paraId="2401E8DE" w14:textId="77777777" w:rsidTr="00D333A9">
        <w:tc>
          <w:tcPr>
            <w:tcW w:w="9617" w:type="dxa"/>
          </w:tcPr>
          <w:p w14:paraId="7F37BED4" w14:textId="77777777" w:rsidR="00E506FD" w:rsidRPr="000252F8" w:rsidRDefault="00E506FD" w:rsidP="003F56D1">
            <w:pPr>
              <w:spacing w:after="120"/>
              <w:rPr>
                <w:rFonts w:eastAsia="Times New Roman" w:cs="Times New Roman"/>
                <w:szCs w:val="20"/>
                <w:lang w:val="en-GB" w:eastAsia="da-DK"/>
              </w:rPr>
            </w:pPr>
            <w:r w:rsidRPr="000252F8">
              <w:rPr>
                <w:rFonts w:eastAsia="Times New Roman" w:cs="Times New Roman"/>
                <w:b/>
                <w:bCs/>
                <w:szCs w:val="20"/>
                <w:lang w:val="en-GB" w:eastAsia="da-DK"/>
              </w:rPr>
              <w:t xml:space="preserve">Agreement: </w:t>
            </w:r>
            <w:r w:rsidRPr="000252F8">
              <w:rPr>
                <w:rFonts w:eastAsia="Times New Roman" w:cs="Times New Roman"/>
                <w:szCs w:val="20"/>
                <w:lang w:val="en-GB" w:eastAsia="da-DK"/>
              </w:rPr>
              <w:t>For CCA model in test cases, an unavailable SSB/SMTC group can be modelled as that there is exactly one SSB not transmitted by TE in N consecutive SSB/SMTC occasions</w:t>
            </w:r>
          </w:p>
          <w:p w14:paraId="18A0B7BD" w14:textId="77777777" w:rsidR="00E506FD" w:rsidRPr="000252F8" w:rsidRDefault="00E506FD" w:rsidP="003F56D1">
            <w:pPr>
              <w:numPr>
                <w:ilvl w:val="0"/>
                <w:numId w:val="33"/>
              </w:numPr>
              <w:spacing w:after="120"/>
              <w:textAlignment w:val="center"/>
              <w:rPr>
                <w:rFonts w:ascii="Calibri" w:eastAsia="Times New Roman" w:hAnsi="Calibri" w:cs="Calibri"/>
                <w:sz w:val="22"/>
                <w:lang w:val="en-GB" w:eastAsia="da-DK"/>
              </w:rPr>
            </w:pPr>
            <w:r w:rsidRPr="000252F8">
              <w:rPr>
                <w:rFonts w:eastAsia="Times New Roman" w:cs="Times New Roman"/>
                <w:szCs w:val="20"/>
                <w:lang w:val="en-GB" w:eastAsia="da-DK"/>
              </w:rPr>
              <w:t>Shift SSB index in each N consecutive SSB/SMTC occasions rather than keeping one fixed SSB index</w:t>
            </w:r>
          </w:p>
          <w:p w14:paraId="68B596B7" w14:textId="77777777" w:rsidR="00E506FD" w:rsidRPr="000252F8" w:rsidRDefault="00E506FD" w:rsidP="003F56D1">
            <w:pPr>
              <w:numPr>
                <w:ilvl w:val="0"/>
                <w:numId w:val="33"/>
              </w:numPr>
              <w:spacing w:after="120"/>
              <w:textAlignment w:val="center"/>
              <w:rPr>
                <w:rFonts w:ascii="Calibri" w:eastAsia="Times New Roman" w:hAnsi="Calibri" w:cs="Calibri"/>
                <w:sz w:val="22"/>
                <w:lang w:val="en-GB" w:eastAsia="da-DK"/>
              </w:rPr>
            </w:pPr>
            <w:r w:rsidRPr="000252F8">
              <w:rPr>
                <w:rFonts w:eastAsia="Times New Roman" w:cs="Times New Roman"/>
                <w:szCs w:val="20"/>
                <w:lang w:val="en-GB" w:eastAsia="da-DK"/>
              </w:rPr>
              <w:t>FFS: Exact shifting pattern</w:t>
            </w:r>
          </w:p>
          <w:p w14:paraId="1963C825" w14:textId="77777777" w:rsidR="00E506FD" w:rsidRDefault="00E506FD" w:rsidP="003F56D1"/>
        </w:tc>
      </w:tr>
    </w:tbl>
    <w:p w14:paraId="10EB5B0C" w14:textId="23130B0E" w:rsidR="00EF79B9" w:rsidRDefault="00EF79B9" w:rsidP="00EF79B9">
      <w:pPr>
        <w:rPr>
          <w:lang w:val="en-GB"/>
        </w:rPr>
      </w:pPr>
    </w:p>
    <w:p w14:paraId="72FC8031" w14:textId="2A31429E" w:rsidR="00EA324D" w:rsidRDefault="00E506FD" w:rsidP="00EF79B9">
      <w:pPr>
        <w:rPr>
          <w:lang w:val="en-GB"/>
        </w:rPr>
      </w:pPr>
      <w:r>
        <w:rPr>
          <w:lang w:val="en-GB"/>
        </w:rPr>
        <w:t xml:space="preserve">The agreement in RAN4 #104 is not clear enough </w:t>
      </w:r>
      <w:r w:rsidR="00852CBA">
        <w:rPr>
          <w:lang w:val="en-GB"/>
        </w:rPr>
        <w:t xml:space="preserve">since it does not specify </w:t>
      </w:r>
      <w:r w:rsidR="00217A57">
        <w:rPr>
          <w:lang w:val="en-GB"/>
        </w:rPr>
        <w:t xml:space="preserve">whether the “SSB not transmitted by TE in N consecutive SSB/SMTC occasions” </w:t>
      </w:r>
      <w:r w:rsidR="00EA324D">
        <w:rPr>
          <w:lang w:val="en-GB"/>
        </w:rPr>
        <w:t>refers to one</w:t>
      </w:r>
      <w:r w:rsidR="00B21114">
        <w:rPr>
          <w:lang w:val="en-GB"/>
        </w:rPr>
        <w:t xml:space="preserve"> SSB index or </w:t>
      </w:r>
      <w:r w:rsidR="00FD1DA2">
        <w:rPr>
          <w:lang w:val="en-GB"/>
        </w:rPr>
        <w:t>one</w:t>
      </w:r>
      <w:r w:rsidR="00B21114">
        <w:rPr>
          <w:lang w:val="en-GB"/>
        </w:rPr>
        <w:t xml:space="preserve"> SSB / SMTC occasion.</w:t>
      </w:r>
      <w:r w:rsidR="00FD1DA2">
        <w:rPr>
          <w:lang w:val="en-GB"/>
        </w:rPr>
        <w:t xml:space="preserve"> </w:t>
      </w:r>
      <w:r w:rsidR="00EA324D">
        <w:rPr>
          <w:lang w:val="en-GB"/>
        </w:rPr>
        <w:t xml:space="preserve">Figure 3 </w:t>
      </w:r>
      <w:r w:rsidR="00D77C81">
        <w:rPr>
          <w:lang w:val="en-GB"/>
        </w:rPr>
        <w:t>illustrates</w:t>
      </w:r>
      <w:r w:rsidR="00EA324D">
        <w:rPr>
          <w:lang w:val="en-GB"/>
        </w:rPr>
        <w:t xml:space="preserve"> the different interpretations</w:t>
      </w:r>
      <w:r w:rsidR="00FA59E8">
        <w:rPr>
          <w:lang w:val="en-GB"/>
        </w:rPr>
        <w:t xml:space="preserve">, considering that only 1 SSB index </w:t>
      </w:r>
      <w:r w:rsidR="00770221">
        <w:rPr>
          <w:lang w:val="en-GB"/>
        </w:rPr>
        <w:t>is configured in the test case.</w:t>
      </w:r>
    </w:p>
    <w:p w14:paraId="1EA0E049" w14:textId="07350343" w:rsidR="00770221" w:rsidRDefault="00770221" w:rsidP="00EF79B9">
      <w:pPr>
        <w:rPr>
          <w:lang w:val="en-GB"/>
        </w:rPr>
      </w:pPr>
      <w:r>
        <w:rPr>
          <w:lang w:val="en-GB"/>
        </w:rPr>
        <w:t>In the first interpretation, 1 SSB</w:t>
      </w:r>
      <w:r w:rsidR="00691E3A">
        <w:rPr>
          <w:lang w:val="en-GB"/>
        </w:rPr>
        <w:t>/SMTC</w:t>
      </w:r>
      <w:r>
        <w:rPr>
          <w:lang w:val="en-GB"/>
        </w:rPr>
        <w:t xml:space="preserve"> occasion fails in N consecutive SSB/SMTC occasions. </w:t>
      </w:r>
      <w:r w:rsidR="0020063D">
        <w:rPr>
          <w:lang w:val="en-GB"/>
        </w:rPr>
        <w:t xml:space="preserve">In this interpretation, 1 SMTC occasion is not transmitted, and 11 occasions are transmitted in the group. In the second interpretation, 1 SSB index fails in N consecutive SMTC occasions. </w:t>
      </w:r>
      <w:r w:rsidR="00034E51">
        <w:rPr>
          <w:lang w:val="en-GB"/>
        </w:rPr>
        <w:t>Since the assumption is that only 1 SSB index is transmitted, in this situation, no SSB is transmitted in 12 consecutive SSB/SMTC occasions.</w:t>
      </w:r>
      <w:r w:rsidR="000D54CA">
        <w:rPr>
          <w:lang w:val="en-GB"/>
        </w:rPr>
        <w:t xml:space="preserve"> This is similar to the LBT model used in Rel-16 for the </w:t>
      </w:r>
      <w:r w:rsidR="005D7653">
        <w:rPr>
          <w:lang w:val="en-GB"/>
        </w:rPr>
        <w:t>requirements with DRX.</w:t>
      </w:r>
    </w:p>
    <w:p w14:paraId="690DEE6E" w14:textId="2C86DC4F" w:rsidR="00DA7529" w:rsidRDefault="00B00BAA" w:rsidP="00DA7529">
      <w:pPr>
        <w:keepNext/>
      </w:pPr>
      <w:r>
        <w:object w:dxaOrig="12851" w:dyaOrig="6721" w14:anchorId="20D8554C">
          <v:shape id="_x0000_i1027" type="#_x0000_t75" style="width:481.5pt;height:251.5pt" o:ole="">
            <v:imagedata r:id="rId12" o:title=""/>
          </v:shape>
          <o:OLEObject Type="Embed" ProgID="Visio.Drawing.15" ShapeID="_x0000_i1027" DrawAspect="Content" ObjectID="_1729355189" r:id="rId13"/>
        </w:object>
      </w:r>
    </w:p>
    <w:p w14:paraId="6C8A2F7B" w14:textId="10A691DA" w:rsidR="00D77C81" w:rsidRDefault="00DA7529" w:rsidP="00DA7529">
      <w:pPr>
        <w:pStyle w:val="Caption"/>
        <w:rPr>
          <w:lang w:val="en-GB"/>
        </w:rPr>
      </w:pPr>
      <w:r>
        <w:t xml:space="preserve">Figure </w:t>
      </w:r>
      <w:r w:rsidR="00842941">
        <w:fldChar w:fldCharType="begin"/>
      </w:r>
      <w:r w:rsidR="00842941">
        <w:instrText xml:space="preserve"> SEQ Figure \* ARABIC </w:instrText>
      </w:r>
      <w:r w:rsidR="00842941">
        <w:fldChar w:fldCharType="separate"/>
      </w:r>
      <w:r w:rsidR="00A609D9">
        <w:rPr>
          <w:noProof/>
        </w:rPr>
        <w:t>3</w:t>
      </w:r>
      <w:r w:rsidR="00842941">
        <w:rPr>
          <w:noProof/>
        </w:rPr>
        <w:fldChar w:fldCharType="end"/>
      </w:r>
      <w:r>
        <w:t xml:space="preserve"> - </w:t>
      </w:r>
      <w:r w:rsidR="00B00BAA">
        <w:t>Possible</w:t>
      </w:r>
      <w:r>
        <w:t xml:space="preserve"> interpretations of previous agreements</w:t>
      </w:r>
    </w:p>
    <w:p w14:paraId="2530EA78" w14:textId="77777777" w:rsidR="00EA324D" w:rsidRDefault="00EA324D" w:rsidP="00EF79B9">
      <w:pPr>
        <w:rPr>
          <w:lang w:val="en-GB"/>
        </w:rPr>
      </w:pPr>
    </w:p>
    <w:p w14:paraId="74F62A44" w14:textId="044F9879" w:rsidR="00E506FD" w:rsidRDefault="00CA1BCF" w:rsidP="00EF79B9">
      <w:pPr>
        <w:rPr>
          <w:lang w:val="en-GB"/>
        </w:rPr>
      </w:pPr>
      <w:r>
        <w:rPr>
          <w:lang w:val="en-GB"/>
        </w:rPr>
        <w:t xml:space="preserve">In RAN4 #104-bis, there was an attempt to </w:t>
      </w:r>
      <w:r w:rsidR="00AF2795">
        <w:rPr>
          <w:lang w:val="en-GB"/>
        </w:rPr>
        <w:t xml:space="preserve">clarify the CCA model, and the following was captured as tentative agreement: </w:t>
      </w:r>
    </w:p>
    <w:tbl>
      <w:tblPr>
        <w:tblStyle w:val="TableGrid"/>
        <w:tblW w:w="0" w:type="auto"/>
        <w:tblLook w:val="04A0" w:firstRow="1" w:lastRow="0" w:firstColumn="1" w:lastColumn="0" w:noHBand="0" w:noVBand="1"/>
      </w:tblPr>
      <w:tblGrid>
        <w:gridCol w:w="9617"/>
      </w:tblGrid>
      <w:tr w:rsidR="00AF2795" w14:paraId="30214269" w14:textId="77777777" w:rsidTr="00AF2795">
        <w:tc>
          <w:tcPr>
            <w:tcW w:w="9617" w:type="dxa"/>
          </w:tcPr>
          <w:p w14:paraId="06FD7FF4" w14:textId="77777777" w:rsidR="00AF2795" w:rsidRPr="00272697" w:rsidRDefault="00AF2795" w:rsidP="00AF2795">
            <w:pPr>
              <w:rPr>
                <w:lang w:val="en-GB"/>
              </w:rPr>
            </w:pPr>
            <w:r w:rsidRPr="00272697">
              <w:rPr>
                <w:lang w:val="en-GB"/>
              </w:rPr>
              <w:t>Sub-topic 1-2: CCA aspects</w:t>
            </w:r>
          </w:p>
          <w:p w14:paraId="462263E5" w14:textId="77777777" w:rsidR="00AF2795" w:rsidRPr="00272697" w:rsidRDefault="00AF2795" w:rsidP="00AF2795">
            <w:pPr>
              <w:rPr>
                <w:lang w:val="en-GB"/>
              </w:rPr>
            </w:pPr>
            <w:r w:rsidRPr="00272697">
              <w:rPr>
                <w:b/>
                <w:bCs/>
                <w:lang w:val="en-GB"/>
              </w:rPr>
              <w:t xml:space="preserve">Tentative agreement: </w:t>
            </w:r>
            <w:r w:rsidRPr="00272697">
              <w:rPr>
                <w:lang w:val="en-GB"/>
              </w:rPr>
              <w:t>For DL CCA model in FR2-2 test cases:</w:t>
            </w:r>
          </w:p>
          <w:p w14:paraId="305F2122" w14:textId="77777777" w:rsidR="00AF2795" w:rsidRPr="00272697" w:rsidRDefault="00AF2795" w:rsidP="00AF2795">
            <w:pPr>
              <w:numPr>
                <w:ilvl w:val="0"/>
                <w:numId w:val="32"/>
              </w:numPr>
              <w:rPr>
                <w:lang w:val="en-GB"/>
              </w:rPr>
            </w:pPr>
            <w:r w:rsidRPr="00272697">
              <w:rPr>
                <w:lang w:val="en-GB"/>
              </w:rPr>
              <w:t>TE picks one SSB occasion out of a group of each 12 consecutive SSB/SMTC occasions</w:t>
            </w:r>
          </w:p>
          <w:p w14:paraId="4C86E021" w14:textId="77777777" w:rsidR="00AF2795" w:rsidRPr="00272697" w:rsidRDefault="00AF2795" w:rsidP="00AF2795">
            <w:pPr>
              <w:numPr>
                <w:ilvl w:val="0"/>
                <w:numId w:val="32"/>
              </w:numPr>
              <w:rPr>
                <w:lang w:val="en-GB"/>
              </w:rPr>
            </w:pPr>
            <w:r w:rsidRPr="00272697">
              <w:rPr>
                <w:lang w:val="en-GB"/>
              </w:rPr>
              <w:t>For this SSB, TE determines with probability P</w:t>
            </w:r>
            <w:r w:rsidRPr="00272697">
              <w:rPr>
                <w:vertAlign w:val="subscript"/>
                <w:lang w:val="en-GB"/>
              </w:rPr>
              <w:t>CCA_DL</w:t>
            </w:r>
            <w:r w:rsidRPr="00272697">
              <w:rPr>
                <w:lang w:val="en-GB"/>
              </w:rPr>
              <w:t xml:space="preserve"> whether to transmit this SSB or not. Note that other 11 SSBs shall be transmitted by the gNB</w:t>
            </w:r>
          </w:p>
          <w:p w14:paraId="6D513677" w14:textId="77777777" w:rsidR="00AF2795" w:rsidRPr="00272697" w:rsidRDefault="00AF2795" w:rsidP="00AF2795">
            <w:pPr>
              <w:numPr>
                <w:ilvl w:val="0"/>
                <w:numId w:val="32"/>
              </w:numPr>
              <w:rPr>
                <w:lang w:val="en-GB"/>
              </w:rPr>
            </w:pPr>
            <w:r w:rsidRPr="00272697">
              <w:rPr>
                <w:lang w:val="en-GB"/>
              </w:rPr>
              <w:t>If the TE decides not to transmit the SSB, one SSB index should be selected based on a fixed pattern that is not transmitted in this SSB</w:t>
            </w:r>
          </w:p>
          <w:p w14:paraId="5FA36352" w14:textId="77777777" w:rsidR="00AF2795" w:rsidRPr="00272697" w:rsidRDefault="00AF2795" w:rsidP="00AF2795">
            <w:pPr>
              <w:numPr>
                <w:ilvl w:val="0"/>
                <w:numId w:val="32"/>
              </w:numPr>
              <w:rPr>
                <w:lang w:val="en-GB"/>
              </w:rPr>
            </w:pPr>
            <w:r w:rsidRPr="00272697">
              <w:rPr>
                <w:lang w:val="en-GB"/>
              </w:rPr>
              <w:t>If this happens the whole SSB occasion group is considered as unavailable to the UE</w:t>
            </w:r>
          </w:p>
          <w:p w14:paraId="79C25AC5" w14:textId="77777777" w:rsidR="00AF2795" w:rsidRDefault="00AF2795" w:rsidP="00EF79B9">
            <w:pPr>
              <w:rPr>
                <w:lang w:val="en-GB"/>
              </w:rPr>
            </w:pPr>
          </w:p>
        </w:tc>
      </w:tr>
    </w:tbl>
    <w:p w14:paraId="14D941B1" w14:textId="77777777" w:rsidR="00AF2795" w:rsidRDefault="00AF2795" w:rsidP="00EF79B9">
      <w:pPr>
        <w:rPr>
          <w:lang w:val="en-GB"/>
        </w:rPr>
      </w:pPr>
    </w:p>
    <w:p w14:paraId="0CEF393E" w14:textId="77777777" w:rsidR="00A179B1" w:rsidRDefault="00EC3795" w:rsidP="00EF79B9">
      <w:pPr>
        <w:rPr>
          <w:lang w:val="en-GB"/>
        </w:rPr>
      </w:pPr>
      <w:r>
        <w:rPr>
          <w:lang w:val="en-GB"/>
        </w:rPr>
        <w:t xml:space="preserve">This </w:t>
      </w:r>
      <w:r w:rsidR="0046567F">
        <w:rPr>
          <w:lang w:val="en-GB"/>
        </w:rPr>
        <w:t>tentative agreement follows the CCA model interpretation 1 in Figure 3</w:t>
      </w:r>
      <w:r w:rsidR="00175771">
        <w:rPr>
          <w:lang w:val="en-GB"/>
        </w:rPr>
        <w:t xml:space="preserve">, but it would still need some editing to be clearer. </w:t>
      </w:r>
      <w:r w:rsidR="00A179B1">
        <w:rPr>
          <w:lang w:val="en-GB"/>
        </w:rPr>
        <w:t xml:space="preserve">For example: </w:t>
      </w:r>
    </w:p>
    <w:p w14:paraId="183AED6D" w14:textId="6E28688D" w:rsidR="00A179B1" w:rsidRPr="00272697" w:rsidRDefault="00A179B1" w:rsidP="00A179B1">
      <w:pPr>
        <w:numPr>
          <w:ilvl w:val="0"/>
          <w:numId w:val="36"/>
        </w:numPr>
        <w:spacing w:after="0" w:line="240" w:lineRule="auto"/>
        <w:rPr>
          <w:lang w:val="en-GB"/>
        </w:rPr>
      </w:pPr>
      <w:r w:rsidRPr="00272697">
        <w:rPr>
          <w:lang w:val="en-GB"/>
        </w:rPr>
        <w:t>TE picks one SSB</w:t>
      </w:r>
      <w:r w:rsidRPr="00A179B1">
        <w:rPr>
          <w:highlight w:val="cyan"/>
          <w:lang w:val="en-GB"/>
        </w:rPr>
        <w:t>/SMTC</w:t>
      </w:r>
      <w:r>
        <w:rPr>
          <w:lang w:val="en-GB"/>
        </w:rPr>
        <w:t xml:space="preserve"> </w:t>
      </w:r>
      <w:r w:rsidRPr="00272697">
        <w:rPr>
          <w:lang w:val="en-GB"/>
        </w:rPr>
        <w:t>occasion out of a group of each 12 consecutive SSB/SMTC occasions</w:t>
      </w:r>
    </w:p>
    <w:p w14:paraId="27B33136" w14:textId="5B064377" w:rsidR="00A179B1" w:rsidRPr="00272697" w:rsidRDefault="00A179B1" w:rsidP="00A179B1">
      <w:pPr>
        <w:numPr>
          <w:ilvl w:val="0"/>
          <w:numId w:val="36"/>
        </w:numPr>
        <w:spacing w:after="0" w:line="240" w:lineRule="auto"/>
        <w:rPr>
          <w:lang w:val="en-GB"/>
        </w:rPr>
      </w:pPr>
      <w:r w:rsidRPr="00272697">
        <w:rPr>
          <w:lang w:val="en-GB"/>
        </w:rPr>
        <w:t>For this SSB</w:t>
      </w:r>
      <w:r w:rsidRPr="00A179B1">
        <w:rPr>
          <w:highlight w:val="cyan"/>
          <w:lang w:val="en-GB"/>
        </w:rPr>
        <w:t>/SMTC occasion</w:t>
      </w:r>
      <w:r w:rsidRPr="00272697">
        <w:rPr>
          <w:lang w:val="en-GB"/>
        </w:rPr>
        <w:t>, TE determines with probability P</w:t>
      </w:r>
      <w:r w:rsidRPr="00272697">
        <w:rPr>
          <w:vertAlign w:val="subscript"/>
          <w:lang w:val="en-GB"/>
        </w:rPr>
        <w:t>CCA_DL</w:t>
      </w:r>
      <w:r w:rsidRPr="00272697">
        <w:rPr>
          <w:lang w:val="en-GB"/>
        </w:rPr>
        <w:t xml:space="preserve"> whether to transmit this SSB</w:t>
      </w:r>
      <w:r w:rsidRPr="00A179B1">
        <w:rPr>
          <w:highlight w:val="cyan"/>
          <w:lang w:val="en-GB"/>
        </w:rPr>
        <w:t>/SMTC occasion</w:t>
      </w:r>
      <w:r w:rsidRPr="00272697">
        <w:rPr>
          <w:lang w:val="en-GB"/>
        </w:rPr>
        <w:t xml:space="preserve"> or not. Note that other 11 SSBs</w:t>
      </w:r>
      <w:r w:rsidRPr="00A179B1">
        <w:rPr>
          <w:highlight w:val="cyan"/>
          <w:lang w:val="en-GB"/>
        </w:rPr>
        <w:t>/SMTC occasi</w:t>
      </w:r>
      <w:r>
        <w:rPr>
          <w:highlight w:val="cyan"/>
          <w:lang w:val="en-GB"/>
        </w:rPr>
        <w:t>ons</w:t>
      </w:r>
      <w:r w:rsidRPr="00272697">
        <w:rPr>
          <w:lang w:val="en-GB"/>
        </w:rPr>
        <w:t xml:space="preserve"> shall be transmitted by the gNB</w:t>
      </w:r>
    </w:p>
    <w:p w14:paraId="2073AA74" w14:textId="6AFF7F9A" w:rsidR="00A179B1" w:rsidRPr="00272697" w:rsidRDefault="00A179B1" w:rsidP="00A179B1">
      <w:pPr>
        <w:numPr>
          <w:ilvl w:val="0"/>
          <w:numId w:val="36"/>
        </w:numPr>
        <w:spacing w:after="0" w:line="240" w:lineRule="auto"/>
        <w:rPr>
          <w:lang w:val="en-GB"/>
        </w:rPr>
      </w:pPr>
      <w:r w:rsidRPr="00272697">
        <w:rPr>
          <w:lang w:val="en-GB"/>
        </w:rPr>
        <w:t>If the TE decides not to transmit the SSB</w:t>
      </w:r>
      <w:r w:rsidR="00B93DA4" w:rsidRPr="00A179B1">
        <w:rPr>
          <w:highlight w:val="cyan"/>
          <w:lang w:val="en-GB"/>
        </w:rPr>
        <w:t>/SMTC occasion</w:t>
      </w:r>
      <w:r w:rsidRPr="00272697">
        <w:rPr>
          <w:lang w:val="en-GB"/>
        </w:rPr>
        <w:t>, one SSB</w:t>
      </w:r>
      <w:r w:rsidR="007A0C20" w:rsidRPr="00A179B1">
        <w:rPr>
          <w:highlight w:val="cyan"/>
          <w:lang w:val="en-GB"/>
        </w:rPr>
        <w:t>/SMTC occasion</w:t>
      </w:r>
      <w:r w:rsidRPr="00272697">
        <w:rPr>
          <w:lang w:val="en-GB"/>
        </w:rPr>
        <w:t xml:space="preserve"> </w:t>
      </w:r>
      <w:r w:rsidRPr="00272697">
        <w:rPr>
          <w:strike/>
          <w:lang w:val="en-GB"/>
        </w:rPr>
        <w:t>index</w:t>
      </w:r>
      <w:r w:rsidR="007A0C20">
        <w:rPr>
          <w:lang w:val="en-GB"/>
        </w:rPr>
        <w:t xml:space="preserve"> </w:t>
      </w:r>
      <w:r w:rsidR="007A0C20" w:rsidRPr="007A0C20">
        <w:rPr>
          <w:highlight w:val="cyan"/>
          <w:lang w:val="en-GB"/>
        </w:rPr>
        <w:t xml:space="preserve">in the </w:t>
      </w:r>
      <w:r w:rsidR="007A0C20">
        <w:rPr>
          <w:highlight w:val="cyan"/>
          <w:lang w:val="en-GB"/>
        </w:rPr>
        <w:t xml:space="preserve">SMTC occasion </w:t>
      </w:r>
      <w:r w:rsidR="007A0C20" w:rsidRPr="007A0C20">
        <w:rPr>
          <w:highlight w:val="cyan"/>
          <w:lang w:val="en-GB"/>
        </w:rPr>
        <w:t>group</w:t>
      </w:r>
      <w:r w:rsidRPr="00272697">
        <w:rPr>
          <w:lang w:val="en-GB"/>
        </w:rPr>
        <w:t xml:space="preserve"> should be selected based on a fixed pattern </w:t>
      </w:r>
      <w:r w:rsidRPr="00272697">
        <w:rPr>
          <w:strike/>
          <w:highlight w:val="cyan"/>
          <w:lang w:val="en-GB"/>
        </w:rPr>
        <w:t>that is not transmitted in this SSB</w:t>
      </w:r>
    </w:p>
    <w:p w14:paraId="105EE2B6" w14:textId="2BC7BCF5" w:rsidR="00A179B1" w:rsidRPr="00272697" w:rsidRDefault="00A179B1" w:rsidP="00A179B1">
      <w:pPr>
        <w:numPr>
          <w:ilvl w:val="0"/>
          <w:numId w:val="36"/>
        </w:numPr>
        <w:spacing w:after="0" w:line="240" w:lineRule="auto"/>
        <w:rPr>
          <w:lang w:val="en-GB"/>
        </w:rPr>
      </w:pPr>
      <w:r w:rsidRPr="00272697">
        <w:rPr>
          <w:lang w:val="en-GB"/>
        </w:rPr>
        <w:t>If this happens the whole SSB</w:t>
      </w:r>
      <w:r w:rsidR="007328BC" w:rsidRPr="00A179B1">
        <w:rPr>
          <w:highlight w:val="cyan"/>
          <w:lang w:val="en-GB"/>
        </w:rPr>
        <w:t xml:space="preserve">/SMTC </w:t>
      </w:r>
      <w:r w:rsidRPr="00272697">
        <w:rPr>
          <w:lang w:val="en-GB"/>
        </w:rPr>
        <w:t>occasion group is considered as unavailable to the UE</w:t>
      </w:r>
    </w:p>
    <w:p w14:paraId="0272EF7E" w14:textId="77777777" w:rsidR="00A179B1" w:rsidRPr="00A179B1" w:rsidRDefault="00A179B1" w:rsidP="00A179B1">
      <w:pPr>
        <w:pStyle w:val="ListParagraph"/>
        <w:rPr>
          <w:lang w:val="en-GB"/>
        </w:rPr>
      </w:pPr>
    </w:p>
    <w:p w14:paraId="73DB7571" w14:textId="2FF50B71" w:rsidR="00AB4461" w:rsidRDefault="00AE65AA" w:rsidP="00EF79B9">
      <w:pPr>
        <w:rPr>
          <w:lang w:val="en-GB"/>
        </w:rPr>
      </w:pPr>
      <w:r>
        <w:rPr>
          <w:lang w:val="en-GB"/>
        </w:rPr>
        <w:t xml:space="preserve">In </w:t>
      </w:r>
      <w:r w:rsidR="00AB4461">
        <w:rPr>
          <w:lang w:val="en-GB"/>
        </w:rPr>
        <w:t xml:space="preserve">our view, this tentative agreement has other issues. </w:t>
      </w:r>
      <w:r w:rsidR="00702C3B">
        <w:rPr>
          <w:lang w:val="en-GB"/>
        </w:rPr>
        <w:t>Firstly</w:t>
      </w:r>
      <w:r w:rsidR="00AB4461">
        <w:rPr>
          <w:lang w:val="en-GB"/>
        </w:rPr>
        <w:t>, it does not consider both candidate positions. Since it was agreed that the definition of an available SMTC occasion follows the R</w:t>
      </w:r>
      <w:r w:rsidR="00584ACE">
        <w:rPr>
          <w:lang w:val="en-GB"/>
        </w:rPr>
        <w:t>e</w:t>
      </w:r>
      <w:r w:rsidR="00AB4461">
        <w:rPr>
          <w:lang w:val="en-GB"/>
        </w:rPr>
        <w:t xml:space="preserve">l-16 definition, </w:t>
      </w:r>
      <w:r w:rsidR="00702C3B">
        <w:rPr>
          <w:lang w:val="en-GB"/>
        </w:rPr>
        <w:t>both candidate positions</w:t>
      </w:r>
      <w:r w:rsidR="00AB4461">
        <w:rPr>
          <w:lang w:val="en-GB"/>
        </w:rPr>
        <w:t xml:space="preserve"> should be </w:t>
      </w:r>
      <w:r w:rsidR="00702C3B">
        <w:rPr>
          <w:lang w:val="en-GB"/>
        </w:rPr>
        <w:t>considered</w:t>
      </w:r>
      <w:r w:rsidR="00584ACE">
        <w:rPr>
          <w:lang w:val="en-GB"/>
        </w:rPr>
        <w:t xml:space="preserve"> just as in the Rel-16 CCA model</w:t>
      </w:r>
      <w:r w:rsidR="00AB4461">
        <w:rPr>
          <w:lang w:val="en-GB"/>
        </w:rPr>
        <w:t>.</w:t>
      </w:r>
      <w:r w:rsidR="00702C3B">
        <w:rPr>
          <w:lang w:val="en-GB"/>
        </w:rPr>
        <w:t xml:space="preserve"> Secondly, </w:t>
      </w:r>
      <w:r w:rsidR="00584ACE">
        <w:rPr>
          <w:lang w:val="en-GB"/>
        </w:rPr>
        <w:t xml:space="preserve">by </w:t>
      </w:r>
      <w:r w:rsidR="00E82DF0">
        <w:rPr>
          <w:lang w:val="en-GB"/>
        </w:rPr>
        <w:t xml:space="preserve">defining that only one </w:t>
      </w:r>
      <w:r w:rsidR="00E83806">
        <w:rPr>
          <w:lang w:val="en-GB"/>
        </w:rPr>
        <w:t xml:space="preserve">SSB/SMTC occasion is subject to CCA </w:t>
      </w:r>
      <w:r w:rsidR="00521E5C">
        <w:rPr>
          <w:lang w:val="en-GB"/>
        </w:rPr>
        <w:t xml:space="preserve">checking, the model automatically reduces the CCA failure </w:t>
      </w:r>
      <w:r w:rsidR="00D30B12">
        <w:rPr>
          <w:lang w:val="en-GB"/>
        </w:rPr>
        <w:t>observed at the UE</w:t>
      </w:r>
      <w:r w:rsidR="004C5FE5">
        <w:rPr>
          <w:lang w:val="en-GB"/>
        </w:rPr>
        <w:t xml:space="preserve">, therefore, we should </w:t>
      </w:r>
      <w:r w:rsidR="00471BF2">
        <w:rPr>
          <w:lang w:val="en-GB"/>
        </w:rPr>
        <w:t>re-evaluate</w:t>
      </w:r>
      <w:r w:rsidR="00A52C1A">
        <w:rPr>
          <w:lang w:val="en-GB"/>
        </w:rPr>
        <w:t xml:space="preserve"> which values </w:t>
      </w:r>
      <w:r w:rsidR="00471BF2">
        <w:rPr>
          <w:lang w:val="en-GB"/>
        </w:rPr>
        <w:t>could</w:t>
      </w:r>
      <w:r w:rsidR="00A52C1A">
        <w:rPr>
          <w:lang w:val="en-GB"/>
        </w:rPr>
        <w:t xml:space="preserve"> be considered.</w:t>
      </w:r>
    </w:p>
    <w:p w14:paraId="68084424" w14:textId="5D77E87E" w:rsidR="00ED034A" w:rsidRDefault="00B20778" w:rsidP="00EF79B9">
      <w:pPr>
        <w:rPr>
          <w:lang w:val="en-GB"/>
        </w:rPr>
      </w:pPr>
      <w:r>
        <w:rPr>
          <w:lang w:val="en-GB"/>
        </w:rPr>
        <w:t>For</w:t>
      </w:r>
      <w:r w:rsidR="00ED034A">
        <w:rPr>
          <w:lang w:val="en-GB"/>
        </w:rPr>
        <w:t xml:space="preserve"> each </w:t>
      </w:r>
      <w:r w:rsidR="000241AD">
        <w:rPr>
          <w:lang w:val="en-GB"/>
        </w:rPr>
        <w:t xml:space="preserve">candidate position, the probability that </w:t>
      </w:r>
      <w:r w:rsidR="00D93D51">
        <w:rPr>
          <w:lang w:val="en-GB"/>
        </w:rPr>
        <w:t xml:space="preserve">CCA is successful in that </w:t>
      </w:r>
      <w:r w:rsidR="00D82999">
        <w:rPr>
          <w:lang w:val="en-GB"/>
        </w:rPr>
        <w:t xml:space="preserve">candidate position is given by: </w:t>
      </w:r>
    </w:p>
    <w:p w14:paraId="43BDA5CC" w14:textId="43310D36" w:rsidR="00D82999" w:rsidRPr="00DF1909" w:rsidRDefault="00DF1909" w:rsidP="00EF79B9">
      <w:pPr>
        <w:rPr>
          <w:rFonts w:eastAsiaTheme="minorEastAsia"/>
        </w:rPr>
      </w:pPr>
      <m:oMathPara>
        <m:oMath>
          <m:r>
            <w:rPr>
              <w:rFonts w:ascii="Cambria Math" w:hAnsi="Cambria Math"/>
            </w:rPr>
            <m:t>P</m:t>
          </m:r>
          <m:d>
            <m:dPr>
              <m:ctrlPr>
                <w:rPr>
                  <w:rFonts w:ascii="Cambria Math" w:hAnsi="Cambria Math"/>
                  <w:i/>
                </w:rPr>
              </m:ctrlPr>
            </m:dPr>
            <m:e>
              <m:r>
                <w:rPr>
                  <w:rFonts w:ascii="Cambria Math" w:hAnsi="Cambria Math"/>
                </w:rPr>
                <m:t>n=N</m:t>
              </m:r>
            </m:e>
          </m:d>
          <m:r>
            <w:rPr>
              <w:rFonts w:ascii="Cambria Math" w:hAnsi="Cambria Math"/>
            </w:rPr>
            <m:t>=p×</m:t>
          </m:r>
          <m:sSup>
            <m:sSupPr>
              <m:ctrlPr>
                <w:rPr>
                  <w:rFonts w:ascii="Cambria Math" w:hAnsi="Cambria Math"/>
                  <w:i/>
                </w:rPr>
              </m:ctrlPr>
            </m:sSupPr>
            <m:e>
              <m:d>
                <m:dPr>
                  <m:ctrlPr>
                    <w:rPr>
                      <w:rFonts w:ascii="Cambria Math" w:hAnsi="Cambria Math"/>
                      <w:i/>
                    </w:rPr>
                  </m:ctrlPr>
                </m:dPr>
                <m:e>
                  <m:r>
                    <w:rPr>
                      <w:rFonts w:ascii="Cambria Math" w:hAnsi="Cambria Math"/>
                    </w:rPr>
                    <m:t>1-p</m:t>
                  </m:r>
                </m:e>
              </m:d>
            </m:e>
            <m:sup>
              <m:r>
                <w:rPr>
                  <w:rFonts w:ascii="Cambria Math" w:hAnsi="Cambria Math"/>
                </w:rPr>
                <m:t>n-1</m:t>
              </m:r>
            </m:sup>
          </m:sSup>
        </m:oMath>
      </m:oMathPara>
    </w:p>
    <w:p w14:paraId="60B7DD36" w14:textId="5465F700" w:rsidR="00DF1909" w:rsidRDefault="00DF1909" w:rsidP="00EF79B9">
      <w:pPr>
        <w:rPr>
          <w:rFonts w:eastAsiaTheme="minorEastAsia"/>
          <w:lang w:val="en-GB"/>
        </w:rPr>
      </w:pPr>
      <w:r>
        <w:rPr>
          <w:rFonts w:eastAsiaTheme="minorEastAsia"/>
          <w:lang w:val="en-GB"/>
        </w:rPr>
        <w:lastRenderedPageBreak/>
        <w:t xml:space="preserve">In which </w:t>
      </w:r>
      <w:r w:rsidR="0053322D">
        <w:rPr>
          <w:rFonts w:eastAsiaTheme="minorEastAsia"/>
          <w:lang w:val="en-GB"/>
        </w:rPr>
        <w:t xml:space="preserve">p is the CCA success probability, and N is the number of candidate positions. </w:t>
      </w:r>
      <w:r w:rsidR="00946AC6">
        <w:rPr>
          <w:rFonts w:eastAsiaTheme="minorEastAsia"/>
          <w:lang w:val="en-GB"/>
        </w:rPr>
        <w:t xml:space="preserve">So if p = 75%, </w:t>
      </w:r>
      <w:r w:rsidR="00931EC9">
        <w:rPr>
          <w:rFonts w:eastAsiaTheme="minorEastAsia"/>
          <w:lang w:val="en-GB"/>
        </w:rPr>
        <w:t xml:space="preserve">as in NR-U, </w:t>
      </w:r>
      <w:r w:rsidR="00755B8B">
        <w:rPr>
          <w:rFonts w:eastAsiaTheme="minorEastAsia"/>
          <w:lang w:val="en-GB"/>
        </w:rPr>
        <w:t xml:space="preserve">the probability that </w:t>
      </w:r>
      <w:r w:rsidR="00537B05">
        <w:rPr>
          <w:rFonts w:eastAsiaTheme="minorEastAsia"/>
          <w:lang w:val="en-GB"/>
        </w:rPr>
        <w:t>CCA is successful in either the first candidate position or the second</w:t>
      </w:r>
      <w:r w:rsidR="00CD7137">
        <w:rPr>
          <w:rFonts w:eastAsiaTheme="minorEastAsia"/>
          <w:lang w:val="en-GB"/>
        </w:rPr>
        <w:t xml:space="preserve"> is </w:t>
      </w:r>
      <w:r w:rsidR="00DF3E08">
        <w:rPr>
          <w:rFonts w:eastAsiaTheme="minorEastAsia"/>
          <w:lang w:val="en-GB"/>
        </w:rPr>
        <w:t>P(n=1) + P</w:t>
      </w:r>
      <w:r w:rsidR="00D14954">
        <w:rPr>
          <w:rFonts w:eastAsiaTheme="minorEastAsia"/>
          <w:lang w:val="en-GB"/>
        </w:rPr>
        <w:t>(n=2) = 93</w:t>
      </w:r>
      <w:r w:rsidR="00A54EDA">
        <w:rPr>
          <w:rFonts w:eastAsiaTheme="minorEastAsia"/>
          <w:lang w:val="en-GB"/>
        </w:rPr>
        <w:t>.</w:t>
      </w:r>
      <w:r w:rsidR="006F29C9">
        <w:rPr>
          <w:rFonts w:eastAsiaTheme="minorEastAsia"/>
          <w:lang w:val="en-GB"/>
        </w:rPr>
        <w:t>75</w:t>
      </w:r>
      <w:r w:rsidR="00D14954">
        <w:rPr>
          <w:rFonts w:eastAsiaTheme="minorEastAsia"/>
          <w:lang w:val="en-GB"/>
        </w:rPr>
        <w:t>%.</w:t>
      </w:r>
      <w:r w:rsidR="00DC7693">
        <w:rPr>
          <w:rFonts w:eastAsiaTheme="minorEastAsia"/>
          <w:lang w:val="en-GB"/>
        </w:rPr>
        <w:t xml:space="preserve"> </w:t>
      </w:r>
      <w:r w:rsidR="006F29C9">
        <w:rPr>
          <w:rFonts w:eastAsiaTheme="minorEastAsia"/>
          <w:lang w:val="en-GB"/>
        </w:rPr>
        <w:t>Therefore, f</w:t>
      </w:r>
      <w:r w:rsidR="00DC7693">
        <w:rPr>
          <w:rFonts w:eastAsiaTheme="minorEastAsia"/>
          <w:lang w:val="en-GB"/>
        </w:rPr>
        <w:t xml:space="preserve">or each </w:t>
      </w:r>
      <w:r w:rsidR="000A5D4E">
        <w:rPr>
          <w:rFonts w:eastAsiaTheme="minorEastAsia"/>
          <w:lang w:val="en-GB"/>
        </w:rPr>
        <w:t>SSB/</w:t>
      </w:r>
      <w:r w:rsidR="00DC7693">
        <w:rPr>
          <w:rFonts w:eastAsiaTheme="minorEastAsia"/>
          <w:lang w:val="en-GB"/>
        </w:rPr>
        <w:t>SMTC</w:t>
      </w:r>
      <w:r w:rsidR="000A5D4E">
        <w:rPr>
          <w:rFonts w:eastAsiaTheme="minorEastAsia"/>
          <w:lang w:val="en-GB"/>
        </w:rPr>
        <w:t xml:space="preserve"> occasion </w:t>
      </w:r>
      <w:r w:rsidR="003B44F4">
        <w:rPr>
          <w:rFonts w:eastAsiaTheme="minorEastAsia"/>
          <w:lang w:val="en-GB"/>
        </w:rPr>
        <w:t>the probability that this occasion is available at the UE is 93</w:t>
      </w:r>
      <w:r w:rsidR="006F29C9">
        <w:rPr>
          <w:rFonts w:eastAsiaTheme="minorEastAsia"/>
          <w:lang w:val="en-GB"/>
        </w:rPr>
        <w:t>.75</w:t>
      </w:r>
      <w:r w:rsidR="003B44F4">
        <w:rPr>
          <w:rFonts w:eastAsiaTheme="minorEastAsia"/>
          <w:lang w:val="en-GB"/>
        </w:rPr>
        <w:t>%.</w:t>
      </w:r>
    </w:p>
    <w:p w14:paraId="1876BC78" w14:textId="104BF2D8" w:rsidR="00192AB1" w:rsidRDefault="006A4C40" w:rsidP="00EF79B9">
      <w:pPr>
        <w:rPr>
          <w:rFonts w:eastAsiaTheme="minorEastAsia"/>
          <w:lang w:val="en-GB"/>
        </w:rPr>
      </w:pPr>
      <w:r>
        <w:rPr>
          <w:rFonts w:eastAsiaTheme="minorEastAsia"/>
          <w:lang w:val="en-GB"/>
        </w:rPr>
        <w:t>For an SSB/SMTC occasion group to be available at the UE</w:t>
      </w:r>
      <w:r w:rsidR="00AA6B42">
        <w:rPr>
          <w:rFonts w:eastAsiaTheme="minorEastAsia"/>
          <w:lang w:val="en-GB"/>
        </w:rPr>
        <w:t>,</w:t>
      </w:r>
      <w:r>
        <w:rPr>
          <w:rFonts w:eastAsiaTheme="minorEastAsia"/>
          <w:lang w:val="en-GB"/>
        </w:rPr>
        <w:t xml:space="preserve"> all 12 occasions in the group should be available. </w:t>
      </w:r>
      <w:r w:rsidR="00892E4F">
        <w:rPr>
          <w:rFonts w:eastAsiaTheme="minorEastAsia"/>
          <w:lang w:val="en-GB"/>
        </w:rPr>
        <w:t>If the probability of the different SSB/SMTC occasions</w:t>
      </w:r>
      <w:r w:rsidR="009A59E5">
        <w:rPr>
          <w:rFonts w:eastAsiaTheme="minorEastAsia"/>
          <w:lang w:val="en-GB"/>
        </w:rPr>
        <w:t xml:space="preserve"> are available</w:t>
      </w:r>
      <w:r w:rsidR="00892E4F">
        <w:rPr>
          <w:rFonts w:eastAsiaTheme="minorEastAsia"/>
          <w:lang w:val="en-GB"/>
        </w:rPr>
        <w:t xml:space="preserve"> in a group are considered independent, </w:t>
      </w:r>
      <w:r w:rsidR="00E565E5">
        <w:rPr>
          <w:rFonts w:eastAsiaTheme="minorEastAsia"/>
          <w:lang w:val="en-GB"/>
        </w:rPr>
        <w:t>considering the values of the example above</w:t>
      </w:r>
      <w:r w:rsidR="004B0CBB">
        <w:rPr>
          <w:rFonts w:eastAsiaTheme="minorEastAsia"/>
          <w:lang w:val="en-GB"/>
        </w:rPr>
        <w:t xml:space="preserve">, the probability that all occasions are available </w:t>
      </w:r>
      <w:r w:rsidR="00E423D7">
        <w:rPr>
          <w:rFonts w:eastAsiaTheme="minorEastAsia"/>
          <w:lang w:val="en-GB"/>
        </w:rPr>
        <w:t>lead to</w:t>
      </w:r>
      <w:r w:rsidR="00137C73">
        <w:rPr>
          <w:rFonts w:eastAsiaTheme="minorEastAsia"/>
          <w:lang w:val="en-GB"/>
        </w:rPr>
        <w:t xml:space="preserve"> </w:t>
      </w:r>
      <w:r w:rsidR="00BF41C9">
        <w:rPr>
          <w:rFonts w:eastAsiaTheme="minorEastAsia"/>
          <w:lang w:val="en-GB"/>
        </w:rPr>
        <w:t>(</w:t>
      </w:r>
      <w:r w:rsidR="00115CC0">
        <w:rPr>
          <w:rFonts w:eastAsiaTheme="minorEastAsia"/>
          <w:lang w:val="en-GB"/>
        </w:rPr>
        <w:t>0.93</w:t>
      </w:r>
      <w:r w:rsidR="0025735F">
        <w:rPr>
          <w:rFonts w:eastAsiaTheme="minorEastAsia"/>
          <w:lang w:val="en-GB"/>
        </w:rPr>
        <w:t>75</w:t>
      </w:r>
      <w:r w:rsidR="00BF41C9">
        <w:rPr>
          <w:rFonts w:eastAsiaTheme="minorEastAsia"/>
          <w:lang w:val="en-GB"/>
        </w:rPr>
        <w:t>)</w:t>
      </w:r>
      <w:r w:rsidR="00BF41C9">
        <w:rPr>
          <w:rFonts w:eastAsiaTheme="minorEastAsia"/>
          <w:vertAlign w:val="superscript"/>
          <w:lang w:val="en-GB"/>
        </w:rPr>
        <w:t>12</w:t>
      </w:r>
      <w:r w:rsidR="00DC5173">
        <w:rPr>
          <w:rFonts w:eastAsiaTheme="minorEastAsia"/>
          <w:lang w:val="en-GB"/>
        </w:rPr>
        <w:t xml:space="preserve"> which equals to 4</w:t>
      </w:r>
      <w:r w:rsidR="0025735F">
        <w:rPr>
          <w:rFonts w:eastAsiaTheme="minorEastAsia"/>
          <w:lang w:val="en-GB"/>
        </w:rPr>
        <w:t>6</w:t>
      </w:r>
      <w:r w:rsidR="000F59C5">
        <w:rPr>
          <w:rFonts w:eastAsiaTheme="minorEastAsia"/>
          <w:lang w:val="en-GB"/>
        </w:rPr>
        <w:t>.1</w:t>
      </w:r>
      <w:r w:rsidR="00DC5173">
        <w:rPr>
          <w:rFonts w:eastAsiaTheme="minorEastAsia"/>
          <w:lang w:val="en-GB"/>
        </w:rPr>
        <w:t>%.</w:t>
      </w:r>
      <w:r w:rsidR="00E423D7">
        <w:rPr>
          <w:rFonts w:eastAsiaTheme="minorEastAsia"/>
          <w:lang w:val="en-GB"/>
        </w:rPr>
        <w:t xml:space="preserve"> </w:t>
      </w:r>
    </w:p>
    <w:p w14:paraId="331E7E3A" w14:textId="69DFD29B" w:rsidR="00EC3B15" w:rsidRDefault="00A03EFA" w:rsidP="00EF79B9">
      <w:pPr>
        <w:rPr>
          <w:rFonts w:eastAsiaTheme="minorEastAsia"/>
          <w:lang w:val="en-GB"/>
        </w:rPr>
      </w:pPr>
      <w:r>
        <w:rPr>
          <w:rFonts w:eastAsiaTheme="minorEastAsia"/>
          <w:lang w:val="en-GB"/>
        </w:rPr>
        <w:t>As mentioned in our contribution</w:t>
      </w:r>
      <w:r w:rsidR="007C4A0F">
        <w:rPr>
          <w:rFonts w:eastAsiaTheme="minorEastAsia"/>
          <w:lang w:val="en-GB"/>
        </w:rPr>
        <w:t xml:space="preserve"> in </w:t>
      </w:r>
      <w:r w:rsidR="00283092">
        <w:rPr>
          <w:rFonts w:eastAsiaTheme="minorEastAsia"/>
          <w:lang w:val="en-GB"/>
        </w:rPr>
        <w:fldChar w:fldCharType="begin"/>
      </w:r>
      <w:r w:rsidR="00283092">
        <w:rPr>
          <w:rFonts w:eastAsiaTheme="minorEastAsia"/>
          <w:lang w:val="en-GB"/>
        </w:rPr>
        <w:instrText xml:space="preserve"> REF _Ref117762733 \r \h </w:instrText>
      </w:r>
      <w:r w:rsidR="00283092">
        <w:rPr>
          <w:rFonts w:eastAsiaTheme="minorEastAsia"/>
          <w:lang w:val="en-GB"/>
        </w:rPr>
      </w:r>
      <w:r w:rsidR="00283092">
        <w:rPr>
          <w:rFonts w:eastAsiaTheme="minorEastAsia"/>
          <w:lang w:val="en-GB"/>
        </w:rPr>
        <w:fldChar w:fldCharType="separate"/>
      </w:r>
      <w:r w:rsidR="00283092">
        <w:rPr>
          <w:rFonts w:eastAsiaTheme="minorEastAsia"/>
          <w:lang w:val="en-GB"/>
        </w:rPr>
        <w:t>[4]</w:t>
      </w:r>
      <w:r w:rsidR="00283092">
        <w:rPr>
          <w:rFonts w:eastAsiaTheme="minorEastAsia"/>
          <w:lang w:val="en-GB"/>
        </w:rPr>
        <w:fldChar w:fldCharType="end"/>
      </w:r>
      <w:r w:rsidR="00283092">
        <w:rPr>
          <w:rFonts w:eastAsiaTheme="minorEastAsia"/>
          <w:lang w:val="en-GB"/>
        </w:rPr>
        <w:t xml:space="preserve">, the probability of CCA failure in FR2-2 is very small when compared to the probability of CCA failure in FR1. </w:t>
      </w:r>
      <w:r w:rsidR="00E423D7">
        <w:rPr>
          <w:rFonts w:eastAsiaTheme="minorEastAsia"/>
          <w:lang w:val="en-GB"/>
        </w:rPr>
        <w:t xml:space="preserve">If </w:t>
      </w:r>
      <w:r w:rsidR="0029674C">
        <w:rPr>
          <w:rFonts w:eastAsiaTheme="minorEastAsia"/>
          <w:lang w:val="en-GB"/>
        </w:rPr>
        <w:t xml:space="preserve">instead </w:t>
      </w:r>
      <w:r w:rsidR="006A3FBB">
        <w:rPr>
          <w:rFonts w:eastAsiaTheme="minorEastAsia"/>
          <w:lang w:val="en-GB"/>
        </w:rPr>
        <w:t xml:space="preserve">a CCA success probability is selected as </w:t>
      </w:r>
      <w:r w:rsidR="0029674C">
        <w:rPr>
          <w:rFonts w:eastAsiaTheme="minorEastAsia"/>
          <w:lang w:val="en-GB"/>
        </w:rPr>
        <w:t>p = 90%,</w:t>
      </w:r>
      <w:r w:rsidR="00192AB1">
        <w:rPr>
          <w:rFonts w:eastAsiaTheme="minorEastAsia"/>
          <w:lang w:val="en-GB"/>
        </w:rPr>
        <w:t xml:space="preserve"> the probability that </w:t>
      </w:r>
      <w:r w:rsidR="00A24F05">
        <w:rPr>
          <w:rFonts w:eastAsiaTheme="minorEastAsia"/>
          <w:lang w:val="en-GB"/>
        </w:rPr>
        <w:t>CCA</w:t>
      </w:r>
      <w:r w:rsidR="00192AB1">
        <w:rPr>
          <w:rFonts w:eastAsiaTheme="minorEastAsia"/>
          <w:lang w:val="en-GB"/>
        </w:rPr>
        <w:t xml:space="preserve"> is successful in either the 1</w:t>
      </w:r>
      <w:r w:rsidR="00192AB1" w:rsidRPr="00192AB1">
        <w:rPr>
          <w:rFonts w:eastAsiaTheme="minorEastAsia"/>
          <w:vertAlign w:val="superscript"/>
          <w:lang w:val="en-GB"/>
        </w:rPr>
        <w:t>st</w:t>
      </w:r>
      <w:r w:rsidR="00192AB1">
        <w:rPr>
          <w:rFonts w:eastAsiaTheme="minorEastAsia"/>
          <w:lang w:val="en-GB"/>
        </w:rPr>
        <w:t xml:space="preserve"> or the 2</w:t>
      </w:r>
      <w:r w:rsidR="00192AB1" w:rsidRPr="00192AB1">
        <w:rPr>
          <w:rFonts w:eastAsiaTheme="minorEastAsia"/>
          <w:vertAlign w:val="superscript"/>
          <w:lang w:val="en-GB"/>
        </w:rPr>
        <w:t>nd</w:t>
      </w:r>
      <w:r w:rsidR="00192AB1">
        <w:rPr>
          <w:rFonts w:eastAsiaTheme="minorEastAsia"/>
          <w:lang w:val="en-GB"/>
        </w:rPr>
        <w:t xml:space="preserve"> candidate position equals 99%</w:t>
      </w:r>
      <w:r w:rsidR="002C197E">
        <w:rPr>
          <w:rFonts w:eastAsiaTheme="minorEastAsia"/>
          <w:lang w:val="en-GB"/>
        </w:rPr>
        <w:t xml:space="preserve"> for each SSB/SMTC occasion</w:t>
      </w:r>
      <w:r w:rsidR="00192AB1">
        <w:rPr>
          <w:rFonts w:eastAsiaTheme="minorEastAsia"/>
          <w:lang w:val="en-GB"/>
        </w:rPr>
        <w:t>, and</w:t>
      </w:r>
      <w:r w:rsidR="0029674C">
        <w:rPr>
          <w:rFonts w:eastAsiaTheme="minorEastAsia"/>
          <w:lang w:val="en-GB"/>
        </w:rPr>
        <w:t xml:space="preserve"> </w:t>
      </w:r>
      <w:r w:rsidR="006E53A1">
        <w:rPr>
          <w:rFonts w:eastAsiaTheme="minorEastAsia"/>
          <w:lang w:val="en-GB"/>
        </w:rPr>
        <w:t>the probability that all SSB</w:t>
      </w:r>
      <w:r w:rsidR="00A24F05">
        <w:rPr>
          <w:rFonts w:eastAsiaTheme="minorEastAsia"/>
          <w:lang w:val="en-GB"/>
        </w:rPr>
        <w:t xml:space="preserve">/ SMTC </w:t>
      </w:r>
      <w:r w:rsidR="006E53A1">
        <w:rPr>
          <w:rFonts w:eastAsiaTheme="minorEastAsia"/>
          <w:lang w:val="en-GB"/>
        </w:rPr>
        <w:t>occasions are available in the group</w:t>
      </w:r>
      <w:r w:rsidR="00BB7BB8">
        <w:rPr>
          <w:rFonts w:eastAsiaTheme="minorEastAsia"/>
          <w:lang w:val="en-GB"/>
        </w:rPr>
        <w:t xml:space="preserve"> </w:t>
      </w:r>
      <w:r w:rsidR="006E53A1">
        <w:rPr>
          <w:rFonts w:eastAsiaTheme="minorEastAsia"/>
          <w:lang w:val="en-GB"/>
        </w:rPr>
        <w:t>equals 88</w:t>
      </w:r>
      <w:r w:rsidR="006A3FBB">
        <w:rPr>
          <w:rFonts w:eastAsiaTheme="minorEastAsia"/>
          <w:lang w:val="en-GB"/>
        </w:rPr>
        <w:t>.64</w:t>
      </w:r>
      <w:r w:rsidR="006E53A1">
        <w:rPr>
          <w:rFonts w:eastAsiaTheme="minorEastAsia"/>
          <w:lang w:val="en-GB"/>
        </w:rPr>
        <w:t>%</w:t>
      </w:r>
      <w:r w:rsidR="006A3FBB">
        <w:rPr>
          <w:rFonts w:eastAsiaTheme="minorEastAsia"/>
          <w:lang w:val="en-GB"/>
        </w:rPr>
        <w:t>.</w:t>
      </w:r>
      <w:r w:rsidR="007A75B8">
        <w:rPr>
          <w:rFonts w:eastAsiaTheme="minorEastAsia"/>
          <w:lang w:val="en-GB"/>
        </w:rPr>
        <w:t xml:space="preserve"> </w:t>
      </w:r>
      <w:r w:rsidR="00232294">
        <w:rPr>
          <w:rFonts w:eastAsiaTheme="minorEastAsia"/>
          <w:lang w:val="en-GB"/>
        </w:rPr>
        <w:t>In this example, t</w:t>
      </w:r>
      <w:r w:rsidR="007A75B8">
        <w:rPr>
          <w:rFonts w:eastAsiaTheme="minorEastAsia"/>
          <w:lang w:val="en-GB"/>
        </w:rPr>
        <w:t xml:space="preserve">he probability that </w:t>
      </w:r>
      <w:r w:rsidR="00E11A49">
        <w:rPr>
          <w:rFonts w:eastAsiaTheme="minorEastAsia"/>
          <w:lang w:val="en-GB"/>
        </w:rPr>
        <w:t xml:space="preserve">only </w:t>
      </w:r>
      <w:r w:rsidR="007A75B8">
        <w:rPr>
          <w:rFonts w:eastAsiaTheme="minorEastAsia"/>
          <w:lang w:val="en-GB"/>
        </w:rPr>
        <w:t xml:space="preserve">1 SSB/SMTC occasion fails in the group is </w:t>
      </w:r>
      <w:r w:rsidR="00E95B15">
        <w:rPr>
          <w:rFonts w:eastAsiaTheme="minorEastAsia"/>
          <w:lang w:val="en-GB"/>
        </w:rPr>
        <w:t xml:space="preserve">approximately 10%, and 2 SSB/SMTC occasion failures in the group is close to </w:t>
      </w:r>
      <w:r w:rsidR="004B36CD">
        <w:rPr>
          <w:rFonts w:eastAsiaTheme="minorEastAsia"/>
          <w:lang w:val="en-GB"/>
        </w:rPr>
        <w:t>0</w:t>
      </w:r>
      <w:r w:rsidR="00EB0862">
        <w:rPr>
          <w:rFonts w:eastAsiaTheme="minorEastAsia"/>
          <w:lang w:val="en-GB"/>
        </w:rPr>
        <w:t xml:space="preserve">.6%. </w:t>
      </w:r>
    </w:p>
    <w:p w14:paraId="4A032882" w14:textId="7ACCC60F" w:rsidR="00EC3B15" w:rsidRDefault="00E37F1F" w:rsidP="00E37F1F">
      <w:pPr>
        <w:pStyle w:val="RAN4observation0"/>
      </w:pPr>
      <w:bookmarkStart w:id="27" w:name="_Toc118719698"/>
      <w:r>
        <w:t xml:space="preserve">In most of the </w:t>
      </w:r>
      <w:r w:rsidR="00857971">
        <w:t xml:space="preserve">cases, </w:t>
      </w:r>
      <w:r w:rsidR="006D1B43">
        <w:t>only 1 SSB/SMTC occasion will fail in a group of 12 consecutive SSB/SMTC occasions.</w:t>
      </w:r>
      <w:bookmarkEnd w:id="27"/>
    </w:p>
    <w:p w14:paraId="59C6AE23" w14:textId="6A7232EE" w:rsidR="00E50076" w:rsidRDefault="00E50076" w:rsidP="00E50076">
      <w:pPr>
        <w:pStyle w:val="RAN4observation0"/>
      </w:pPr>
      <w:bookmarkStart w:id="28" w:name="_Toc118719699"/>
      <w:r>
        <w:t xml:space="preserve">The probability </w:t>
      </w:r>
      <w:r w:rsidR="00B56D39">
        <w:t>that</w:t>
      </w:r>
      <w:r>
        <w:t xml:space="preserve"> </w:t>
      </w:r>
      <w:r w:rsidR="00B57023">
        <w:t xml:space="preserve">12 consecutive SSB/SMTC occasions </w:t>
      </w:r>
      <w:r w:rsidR="00B56D39">
        <w:t>are</w:t>
      </w:r>
      <w:r w:rsidR="00B57023">
        <w:t xml:space="preserve"> transmitted is smaller than the probability of CCA </w:t>
      </w:r>
      <w:r w:rsidR="00191C28">
        <w:t>success for the transmission of 1 SSB/SMTC occasion.</w:t>
      </w:r>
      <w:bookmarkEnd w:id="28"/>
    </w:p>
    <w:p w14:paraId="0CCD4E3D" w14:textId="73AA1F89" w:rsidR="00140C7C" w:rsidRDefault="00140C7C" w:rsidP="00140C7C">
      <w:pPr>
        <w:rPr>
          <w:lang w:val="en-GB"/>
        </w:rPr>
      </w:pPr>
      <w:r>
        <w:rPr>
          <w:lang w:val="en-GB"/>
        </w:rPr>
        <w:t xml:space="preserve">However, there is a difference between an CCA failure for the transmission of an SSB </w:t>
      </w:r>
      <w:r w:rsidR="002053D1">
        <w:rPr>
          <w:lang w:val="en-GB"/>
        </w:rPr>
        <w:t xml:space="preserve">by the gNB and the </w:t>
      </w:r>
      <w:r w:rsidR="008D63A3">
        <w:rPr>
          <w:lang w:val="en-GB"/>
        </w:rPr>
        <w:t xml:space="preserve">failure </w:t>
      </w:r>
      <w:r w:rsidR="002053D1">
        <w:rPr>
          <w:lang w:val="en-GB"/>
        </w:rPr>
        <w:t xml:space="preserve">observed at the UE. It is assumed that the UEs are continuously doing </w:t>
      </w:r>
      <w:r w:rsidR="00062308">
        <w:rPr>
          <w:lang w:val="en-GB"/>
        </w:rPr>
        <w:t xml:space="preserve">Rx beam sweeping. Therefore, </w:t>
      </w:r>
      <w:r w:rsidR="004C15A8">
        <w:rPr>
          <w:lang w:val="en-GB"/>
        </w:rPr>
        <w:t xml:space="preserve">there might be cases in which the CCA failures occur when the Rx beam </w:t>
      </w:r>
      <w:r w:rsidR="006B724F">
        <w:rPr>
          <w:lang w:val="en-GB"/>
        </w:rPr>
        <w:t xml:space="preserve">is not aligned with the SSB transmission (case 1 in Figure 4), and cases in which the CCA failures occur when the Rx beam is aligned with the SSB transmission (case 2 in Figure 4). </w:t>
      </w:r>
    </w:p>
    <w:p w14:paraId="06496FE8" w14:textId="77777777" w:rsidR="00A609D9" w:rsidRDefault="0099335D" w:rsidP="00A609D9">
      <w:pPr>
        <w:keepNext/>
      </w:pPr>
      <w:r>
        <w:rPr>
          <w:noProof/>
        </w:rPr>
        <w:drawing>
          <wp:inline distT="0" distB="0" distL="0" distR="0" wp14:anchorId="2AB139C1" wp14:editId="5F25D3E5">
            <wp:extent cx="6113145" cy="432435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3145" cy="4324350"/>
                    </a:xfrm>
                    <a:prstGeom prst="rect">
                      <a:avLst/>
                    </a:prstGeom>
                  </pic:spPr>
                </pic:pic>
              </a:graphicData>
            </a:graphic>
          </wp:inline>
        </w:drawing>
      </w:r>
    </w:p>
    <w:p w14:paraId="0EF99C91" w14:textId="6C77FFEC" w:rsidR="00062308" w:rsidRDefault="00A609D9" w:rsidP="00BE3D5C">
      <w:pPr>
        <w:pStyle w:val="Caption"/>
        <w:rPr>
          <w:lang w:val="en-GB"/>
        </w:rPr>
      </w:pPr>
      <w:r>
        <w:t xml:space="preserve">Figure </w:t>
      </w:r>
      <w:r w:rsidR="00842941">
        <w:fldChar w:fldCharType="begin"/>
      </w:r>
      <w:r w:rsidR="00842941">
        <w:instrText xml:space="preserve"> SEQ Figure \* ARABIC </w:instrText>
      </w:r>
      <w:r w:rsidR="00842941">
        <w:fldChar w:fldCharType="separate"/>
      </w:r>
      <w:r>
        <w:rPr>
          <w:noProof/>
        </w:rPr>
        <w:t>4</w:t>
      </w:r>
      <w:r w:rsidR="00842941">
        <w:rPr>
          <w:noProof/>
        </w:rPr>
        <w:fldChar w:fldCharType="end"/>
      </w:r>
      <w:r>
        <w:t xml:space="preserve"> </w:t>
      </w:r>
      <w:r w:rsidR="00BE3D5C">
        <w:t>–</w:t>
      </w:r>
      <w:r>
        <w:t xml:space="preserve"> </w:t>
      </w:r>
      <w:r w:rsidR="00BE3D5C">
        <w:t>DL CCA failures and Rx beam alignment</w:t>
      </w:r>
    </w:p>
    <w:p w14:paraId="739ABCE7" w14:textId="77777777" w:rsidR="00062308" w:rsidRDefault="00062308" w:rsidP="00140C7C">
      <w:pPr>
        <w:rPr>
          <w:lang w:val="en-GB"/>
        </w:rPr>
      </w:pPr>
    </w:p>
    <w:p w14:paraId="008A661E" w14:textId="1AF6982F" w:rsidR="00140C7C" w:rsidRDefault="001A742A" w:rsidP="00BE3D5C">
      <w:pPr>
        <w:pStyle w:val="RAN4observation0"/>
      </w:pPr>
      <w:bookmarkStart w:id="29" w:name="_Toc118719700"/>
      <w:r>
        <w:t xml:space="preserve">There is a difference between the DL CCA failure and the observed </w:t>
      </w:r>
      <w:r w:rsidR="006E1AAB">
        <w:t xml:space="preserve">SSB/SMTC occasion failure at the UE due to the Rx beam sweeping. </w:t>
      </w:r>
      <w:r w:rsidR="00D07A99">
        <w:t>If only one failure occurs in a group in the DL CCA model, the</w:t>
      </w:r>
      <w:r w:rsidR="000D5FCE">
        <w:t xml:space="preserve"> probability that th</w:t>
      </w:r>
      <w:r w:rsidR="00FF3597">
        <w:t>is</w:t>
      </w:r>
      <w:r w:rsidR="000D5FCE">
        <w:t xml:space="preserve"> </w:t>
      </w:r>
      <w:r w:rsidR="000D5FCE">
        <w:lastRenderedPageBreak/>
        <w:t xml:space="preserve">DL CCA failure is observed </w:t>
      </w:r>
      <w:r w:rsidR="00EE19E3">
        <w:t>by</w:t>
      </w:r>
      <w:r w:rsidR="000D5FCE">
        <w:t xml:space="preserve"> the UE is very small</w:t>
      </w:r>
      <w:r w:rsidR="005C6B07">
        <w:t xml:space="preserve">, because it would require that the failure occurs exactly </w:t>
      </w:r>
      <w:r w:rsidR="00044233">
        <w:t>when the Rx beam is aligned with the SSB.</w:t>
      </w:r>
      <w:bookmarkEnd w:id="29"/>
    </w:p>
    <w:p w14:paraId="1812B2D7" w14:textId="11D0AA58" w:rsidR="00A332D4" w:rsidRDefault="00982018" w:rsidP="00A332D4">
      <w:pPr>
        <w:rPr>
          <w:lang w:val="en-GB"/>
        </w:rPr>
      </w:pPr>
      <w:r>
        <w:rPr>
          <w:lang w:val="en-GB"/>
        </w:rPr>
        <w:t xml:space="preserve">Therefore, in order to balance these probabilities while still </w:t>
      </w:r>
      <w:r w:rsidR="00C525BA">
        <w:rPr>
          <w:lang w:val="en-GB"/>
        </w:rPr>
        <w:t xml:space="preserve">testing the UE </w:t>
      </w:r>
      <w:r w:rsidR="00A332D4">
        <w:rPr>
          <w:lang w:val="en-GB"/>
        </w:rPr>
        <w:t>behaviour</w:t>
      </w:r>
      <w:r w:rsidR="00C525BA">
        <w:rPr>
          <w:lang w:val="en-GB"/>
        </w:rPr>
        <w:t xml:space="preserve"> under </w:t>
      </w:r>
      <w:r w:rsidR="00B66B26">
        <w:rPr>
          <w:lang w:val="en-GB"/>
        </w:rPr>
        <w:t>CCA</w:t>
      </w:r>
      <w:r w:rsidR="00C525BA">
        <w:rPr>
          <w:lang w:val="en-GB"/>
        </w:rPr>
        <w:t xml:space="preserve"> failure,</w:t>
      </w:r>
      <w:r w:rsidR="00F92DB6">
        <w:rPr>
          <w:lang w:val="en-GB"/>
        </w:rPr>
        <w:t xml:space="preserve"> in our view there are tw</w:t>
      </w:r>
      <w:r w:rsidR="002A14E3">
        <w:rPr>
          <w:lang w:val="en-GB"/>
        </w:rPr>
        <w:t xml:space="preserve">o options: </w:t>
      </w:r>
    </w:p>
    <w:p w14:paraId="2E3AF94F" w14:textId="050BC915" w:rsidR="002A14E3" w:rsidRDefault="0017522E" w:rsidP="002A14E3">
      <w:pPr>
        <w:pStyle w:val="ListParagraph"/>
        <w:numPr>
          <w:ilvl w:val="1"/>
          <w:numId w:val="33"/>
        </w:numPr>
        <w:rPr>
          <w:lang w:val="en-GB"/>
        </w:rPr>
      </w:pPr>
      <w:r>
        <w:rPr>
          <w:lang w:val="en-GB"/>
        </w:rPr>
        <w:t>When a CCA failure occurs, all SMTC/SSB occasions in the group will fail</w:t>
      </w:r>
      <w:r w:rsidR="00E11F8E">
        <w:rPr>
          <w:lang w:val="en-GB"/>
        </w:rPr>
        <w:t xml:space="preserve">. In this case, </w:t>
      </w:r>
      <w:r w:rsidR="00852A8F">
        <w:rPr>
          <w:lang w:val="en-GB"/>
        </w:rPr>
        <w:t xml:space="preserve">we ensure that the UE is </w:t>
      </w:r>
      <w:r w:rsidR="005A7CAE">
        <w:rPr>
          <w:lang w:val="en-GB"/>
        </w:rPr>
        <w:t>observing the CCA failure.</w:t>
      </w:r>
    </w:p>
    <w:p w14:paraId="03AF6F11" w14:textId="244E5ED2" w:rsidR="0017522E" w:rsidRPr="002A14E3" w:rsidRDefault="0017522E" w:rsidP="002A14E3">
      <w:pPr>
        <w:pStyle w:val="ListParagraph"/>
        <w:numPr>
          <w:ilvl w:val="1"/>
          <w:numId w:val="33"/>
        </w:numPr>
        <w:rPr>
          <w:lang w:val="en-GB"/>
        </w:rPr>
      </w:pPr>
      <w:r>
        <w:rPr>
          <w:lang w:val="en-GB"/>
        </w:rPr>
        <w:t>When a CCA failure occurs, only one SMTC/SSB occasion</w:t>
      </w:r>
      <w:r w:rsidR="006C3B20">
        <w:rPr>
          <w:lang w:val="en-GB"/>
        </w:rPr>
        <w:t xml:space="preserve"> </w:t>
      </w:r>
      <w:r>
        <w:rPr>
          <w:lang w:val="en-GB"/>
        </w:rPr>
        <w:t>in the group will fail</w:t>
      </w:r>
      <w:r w:rsidR="005A7CAE">
        <w:rPr>
          <w:lang w:val="en-GB"/>
        </w:rPr>
        <w:t>. In this case, there is no guarantee that the UE will observe the CCA failure, therefore we propose that the p</w:t>
      </w:r>
      <w:r w:rsidR="003B539C">
        <w:rPr>
          <w:lang w:val="en-GB"/>
        </w:rPr>
        <w:t>ercentage of test cases that should succeed is increased to 99%.</w:t>
      </w:r>
    </w:p>
    <w:p w14:paraId="3B59C792" w14:textId="56816B6A" w:rsidR="00191C28" w:rsidRDefault="00191C28" w:rsidP="00191C28">
      <w:pPr>
        <w:rPr>
          <w:lang w:val="en-GB"/>
        </w:rPr>
      </w:pPr>
      <w:r>
        <w:rPr>
          <w:lang w:val="en-GB"/>
        </w:rPr>
        <w:t xml:space="preserve">Taking these considerations into account, we propose the following model: </w:t>
      </w:r>
    </w:p>
    <w:p w14:paraId="78E47980" w14:textId="486D1B11" w:rsidR="00191C28" w:rsidRDefault="00EA724F" w:rsidP="00EA724F">
      <w:pPr>
        <w:pStyle w:val="RAN4proposal"/>
        <w:rPr>
          <w:lang w:val="en-GB"/>
        </w:rPr>
      </w:pPr>
      <w:bookmarkStart w:id="30" w:name="_Toc118719701"/>
      <w:r>
        <w:rPr>
          <w:lang w:val="en-GB"/>
        </w:rPr>
        <w:t>DL LBT model is given by:</w:t>
      </w:r>
      <w:bookmarkEnd w:id="30"/>
    </w:p>
    <w:p w14:paraId="263FEB2F" w14:textId="3C67557F" w:rsidR="00C30732" w:rsidRDefault="00EA724F" w:rsidP="00D35DE4">
      <w:pPr>
        <w:pStyle w:val="RAN4proposal"/>
        <w:numPr>
          <w:ilvl w:val="0"/>
          <w:numId w:val="38"/>
        </w:numPr>
        <w:rPr>
          <w:lang w:val="en-GB"/>
        </w:rPr>
      </w:pPr>
      <w:bookmarkStart w:id="31" w:name="_Toc118719702"/>
      <w:r w:rsidRPr="000E7810">
        <w:rPr>
          <w:lang w:val="en-GB"/>
        </w:rPr>
        <w:t xml:space="preserve">TE </w:t>
      </w:r>
      <w:r w:rsidR="00C30732">
        <w:rPr>
          <w:lang w:val="en-GB"/>
        </w:rPr>
        <w:t xml:space="preserve">generates a uniform random variable </w:t>
      </w:r>
      <w:r w:rsidR="00B921F4">
        <w:rPr>
          <w:lang w:val="en-GB"/>
        </w:rPr>
        <w:t xml:space="preserve">p </w:t>
      </w:r>
      <w:r w:rsidR="00C30732">
        <w:rPr>
          <w:lang w:val="en-GB"/>
        </w:rPr>
        <w:t>from the range [0,1].</w:t>
      </w:r>
      <w:bookmarkEnd w:id="31"/>
      <w:r w:rsidR="00C30732">
        <w:rPr>
          <w:lang w:val="en-GB"/>
        </w:rPr>
        <w:t xml:space="preserve"> </w:t>
      </w:r>
    </w:p>
    <w:p w14:paraId="3C068EFF" w14:textId="7EF09CE5" w:rsidR="005562F5" w:rsidRDefault="005A74EE" w:rsidP="00D35DE4">
      <w:pPr>
        <w:pStyle w:val="RAN4proposal"/>
        <w:numPr>
          <w:ilvl w:val="0"/>
          <w:numId w:val="38"/>
        </w:numPr>
        <w:rPr>
          <w:lang w:val="en-GB"/>
        </w:rPr>
      </w:pPr>
      <w:bookmarkStart w:id="32" w:name="_Toc118719703"/>
      <w:r>
        <w:rPr>
          <w:lang w:val="en-GB"/>
        </w:rPr>
        <w:t>I</w:t>
      </w:r>
      <w:r w:rsidR="00B921F4">
        <w:rPr>
          <w:lang w:val="en-GB"/>
        </w:rPr>
        <w:t xml:space="preserve">f p </w:t>
      </w:r>
      <m:oMath>
        <m:r>
          <m:rPr>
            <m:sty m:val="bi"/>
          </m:rPr>
          <w:rPr>
            <w:rFonts w:ascii="Cambria Math" w:hAnsi="Cambria Math"/>
            <w:lang w:val="en-GB"/>
          </w:rPr>
          <m:t>≤</m:t>
        </m:r>
      </m:oMath>
      <w:r w:rsidR="00B921F4">
        <w:rPr>
          <w:rFonts w:eastAsiaTheme="minorEastAsia"/>
          <w:lang w:val="en-GB"/>
        </w:rPr>
        <w:t xml:space="preserve"> </w:t>
      </w:r>
      <w:r w:rsidR="00B921F4" w:rsidRPr="000E7810">
        <w:rPr>
          <w:lang w:val="en-GB"/>
        </w:rPr>
        <w:t>P</w:t>
      </w:r>
      <w:r w:rsidR="00B921F4" w:rsidRPr="000E7810">
        <w:rPr>
          <w:vertAlign w:val="subscript"/>
          <w:lang w:val="en-GB"/>
        </w:rPr>
        <w:t>CCA_DL</w:t>
      </w:r>
      <w:r>
        <w:rPr>
          <w:lang w:val="en-GB"/>
        </w:rPr>
        <w:t>, TE transmit 12 consecutive SSB/SMTC occasions.</w:t>
      </w:r>
      <w:bookmarkEnd w:id="32"/>
    </w:p>
    <w:p w14:paraId="372FC227" w14:textId="70BB80E7" w:rsidR="00B921F4" w:rsidRDefault="005D024E" w:rsidP="00D35DE4">
      <w:pPr>
        <w:pStyle w:val="RAN4proposal"/>
        <w:numPr>
          <w:ilvl w:val="0"/>
          <w:numId w:val="38"/>
        </w:numPr>
        <w:rPr>
          <w:lang w:val="en-GB"/>
        </w:rPr>
      </w:pPr>
      <w:bookmarkStart w:id="33" w:name="_Toc118719704"/>
      <w:r>
        <w:rPr>
          <w:rFonts w:eastAsiaTheme="minorEastAsia"/>
          <w:lang w:val="en-GB"/>
        </w:rPr>
        <w:t>If</w:t>
      </w:r>
      <w:r w:rsidRPr="005D024E">
        <w:rPr>
          <w:lang w:val="en-GB"/>
        </w:rPr>
        <w:t xml:space="preserve"> </w:t>
      </w:r>
      <w:r>
        <w:rPr>
          <w:lang w:val="en-GB"/>
        </w:rPr>
        <w:t xml:space="preserve">p </w:t>
      </w:r>
      <m:oMath>
        <m:r>
          <m:rPr>
            <m:sty m:val="bi"/>
          </m:rPr>
          <w:rPr>
            <w:rFonts w:ascii="Cambria Math" w:hAnsi="Cambria Math"/>
            <w:lang w:val="en-GB"/>
          </w:rPr>
          <m:t>&gt;</m:t>
        </m:r>
      </m:oMath>
      <w:r>
        <w:rPr>
          <w:rFonts w:eastAsiaTheme="minorEastAsia"/>
          <w:lang w:val="en-GB"/>
        </w:rPr>
        <w:t xml:space="preserve"> </w:t>
      </w:r>
      <w:r w:rsidRPr="000E7810">
        <w:rPr>
          <w:lang w:val="en-GB"/>
        </w:rPr>
        <w:t>P</w:t>
      </w:r>
      <w:r w:rsidRPr="000E7810">
        <w:rPr>
          <w:vertAlign w:val="subscript"/>
          <w:lang w:val="en-GB"/>
        </w:rPr>
        <w:t>CCA_DL</w:t>
      </w:r>
      <w:r w:rsidR="005562F5">
        <w:rPr>
          <w:vertAlign w:val="subscript"/>
          <w:lang w:val="en-GB"/>
        </w:rPr>
        <w:t xml:space="preserve"> </w:t>
      </w:r>
      <w:r w:rsidR="00070609" w:rsidRPr="00070609">
        <w:rPr>
          <w:lang w:val="en-GB"/>
        </w:rPr>
        <w:t>TE</w:t>
      </w:r>
      <w:r w:rsidR="00070609">
        <w:rPr>
          <w:lang w:val="en-GB"/>
        </w:rPr>
        <w:t xml:space="preserve"> </w:t>
      </w:r>
      <w:r w:rsidR="00C812E1">
        <w:rPr>
          <w:lang w:val="en-GB"/>
        </w:rPr>
        <w:t>does not transmit</w:t>
      </w:r>
      <w:r w:rsidR="00070609">
        <w:rPr>
          <w:lang w:val="en-GB"/>
        </w:rPr>
        <w:t xml:space="preserve"> one SSB/SMTC occasion out of </w:t>
      </w:r>
      <w:r w:rsidR="00F27CC8">
        <w:rPr>
          <w:lang w:val="en-GB"/>
        </w:rPr>
        <w:t>12 consecutive SSB/SMTC occasions</w:t>
      </w:r>
      <w:r w:rsidR="005A74EE">
        <w:rPr>
          <w:lang w:val="en-GB"/>
        </w:rPr>
        <w:t>, and this SSB/SMTC occasion group is considered unavailable.</w:t>
      </w:r>
      <w:bookmarkEnd w:id="33"/>
    </w:p>
    <w:p w14:paraId="76C2B742" w14:textId="017F67CD" w:rsidR="004F4BF2" w:rsidRDefault="00CF79F0" w:rsidP="00CF79F0">
      <w:pPr>
        <w:pStyle w:val="RAN4proposal"/>
        <w:numPr>
          <w:ilvl w:val="1"/>
          <w:numId w:val="38"/>
        </w:numPr>
        <w:rPr>
          <w:lang w:val="en-GB"/>
        </w:rPr>
      </w:pPr>
      <w:bookmarkStart w:id="34" w:name="_Toc118719705"/>
      <w:r>
        <w:rPr>
          <w:lang w:val="en-GB"/>
        </w:rPr>
        <w:t>Th</w:t>
      </w:r>
      <w:r w:rsidR="00E32394">
        <w:rPr>
          <w:lang w:val="en-GB"/>
        </w:rPr>
        <w:t>e</w:t>
      </w:r>
      <w:r w:rsidR="00454B10">
        <w:rPr>
          <w:lang w:val="en-GB"/>
        </w:rPr>
        <w:t xml:space="preserve"> failed</w:t>
      </w:r>
      <w:r w:rsidR="00E32394">
        <w:rPr>
          <w:lang w:val="en-GB"/>
        </w:rPr>
        <w:t xml:space="preserve"> SSB</w:t>
      </w:r>
      <w:r>
        <w:rPr>
          <w:lang w:val="en-GB"/>
        </w:rPr>
        <w:t xml:space="preserve">/SMTC occasion </w:t>
      </w:r>
      <w:r w:rsidR="00E32394">
        <w:rPr>
          <w:lang w:val="en-GB"/>
        </w:rPr>
        <w:t xml:space="preserve">within the group </w:t>
      </w:r>
      <w:r>
        <w:rPr>
          <w:lang w:val="en-GB"/>
        </w:rPr>
        <w:t xml:space="preserve">is selected out </w:t>
      </w:r>
      <w:r w:rsidR="00EB6D8A">
        <w:rPr>
          <w:lang w:val="en-GB"/>
        </w:rPr>
        <w:t>randomly</w:t>
      </w:r>
      <w:r w:rsidR="006D28B2">
        <w:rPr>
          <w:lang w:val="en-GB"/>
        </w:rPr>
        <w:t>.</w:t>
      </w:r>
      <w:bookmarkEnd w:id="34"/>
    </w:p>
    <w:p w14:paraId="0DE09C06" w14:textId="6EE8F659" w:rsidR="0081247C" w:rsidRPr="0081247C" w:rsidRDefault="00724789" w:rsidP="0081247C">
      <w:pPr>
        <w:pStyle w:val="ListParagraph"/>
        <w:numPr>
          <w:ilvl w:val="0"/>
          <w:numId w:val="38"/>
        </w:numPr>
        <w:rPr>
          <w:b/>
          <w:iCs/>
          <w:szCs w:val="18"/>
          <w:lang w:val="en-GB"/>
        </w:rPr>
      </w:pPr>
      <w:r w:rsidRPr="0081247C">
        <w:rPr>
          <w:lang w:val="en-GB"/>
        </w:rPr>
        <w:t xml:space="preserve"> </w:t>
      </w:r>
      <w:r w:rsidR="0081247C" w:rsidRPr="0081247C">
        <w:rPr>
          <w:b/>
          <w:iCs/>
          <w:szCs w:val="18"/>
          <w:lang w:val="en-GB"/>
        </w:rPr>
        <w:t>P</w:t>
      </w:r>
      <w:r w:rsidR="0081247C" w:rsidRPr="00454B10">
        <w:rPr>
          <w:b/>
          <w:iCs/>
          <w:szCs w:val="18"/>
          <w:vertAlign w:val="subscript"/>
          <w:lang w:val="en-GB"/>
        </w:rPr>
        <w:t>CCA_DL</w:t>
      </w:r>
      <w:r w:rsidR="0081247C" w:rsidRPr="0081247C">
        <w:rPr>
          <w:b/>
          <w:iCs/>
          <w:szCs w:val="18"/>
          <w:lang w:val="en-GB"/>
        </w:rPr>
        <w:t xml:space="preserve"> is equal to </w:t>
      </w:r>
      <w:r w:rsidR="00796B68">
        <w:rPr>
          <w:b/>
          <w:iCs/>
          <w:szCs w:val="18"/>
          <w:lang w:val="en-GB"/>
        </w:rPr>
        <w:t>88</w:t>
      </w:r>
      <w:r w:rsidR="0081247C" w:rsidRPr="0081247C">
        <w:rPr>
          <w:b/>
          <w:iCs/>
          <w:szCs w:val="18"/>
          <w:lang w:val="en-GB"/>
        </w:rPr>
        <w:t>%.</w:t>
      </w:r>
    </w:p>
    <w:p w14:paraId="09F7B1AE" w14:textId="7CCE3791" w:rsidR="00B921F4" w:rsidRDefault="00724789" w:rsidP="004F4BF2">
      <w:pPr>
        <w:pStyle w:val="RAN4proposal"/>
        <w:numPr>
          <w:ilvl w:val="0"/>
          <w:numId w:val="38"/>
        </w:numPr>
        <w:rPr>
          <w:lang w:val="en-GB"/>
        </w:rPr>
      </w:pPr>
      <w:bookmarkStart w:id="35" w:name="_Toc118719706"/>
      <w:r w:rsidRPr="00724789">
        <w:rPr>
          <w:lang w:val="en-GB"/>
        </w:rPr>
        <w:t xml:space="preserve">The rate of correct </w:t>
      </w:r>
      <w:r>
        <w:rPr>
          <w:lang w:val="en-GB"/>
        </w:rPr>
        <w:t>tests observed</w:t>
      </w:r>
      <w:r w:rsidRPr="00724789">
        <w:rPr>
          <w:lang w:val="en-GB"/>
        </w:rPr>
        <w:t xml:space="preserve"> during repeated tests shall be at least 9</w:t>
      </w:r>
      <w:r>
        <w:rPr>
          <w:lang w:val="en-GB"/>
        </w:rPr>
        <w:t>9</w:t>
      </w:r>
      <w:r w:rsidRPr="00724789">
        <w:rPr>
          <w:lang w:val="en-GB"/>
        </w:rPr>
        <w:t>%.</w:t>
      </w:r>
      <w:bookmarkEnd w:id="35"/>
    </w:p>
    <w:p w14:paraId="3B9F2660" w14:textId="77777777" w:rsidR="00CD7492" w:rsidRPr="00EF698B" w:rsidRDefault="00CD7492" w:rsidP="00A37002">
      <w:pPr>
        <w:pStyle w:val="RAN4H1"/>
        <w:rPr>
          <w:lang w:val="en-US"/>
        </w:rPr>
      </w:pPr>
      <w:bookmarkStart w:id="36" w:name="_Toc11699584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EF698B">
        <w:rPr>
          <w:lang w:val="en-US"/>
        </w:rPr>
        <w:t>Conclusion</w:t>
      </w:r>
      <w:bookmarkEnd w:id="36"/>
    </w:p>
    <w:p w14:paraId="2992EDA9" w14:textId="35407B6C" w:rsidR="00E55751" w:rsidRPr="00592A86" w:rsidRDefault="00DE231E" w:rsidP="00936159">
      <w:r>
        <w:t xml:space="preserve">In this contribution, the DL LBT model was discussed. </w:t>
      </w:r>
      <w:r w:rsidR="008B0961">
        <w:t>In the paper, t</w:t>
      </w:r>
      <w:r w:rsidR="005B4801">
        <w:t xml:space="preserve">he </w:t>
      </w:r>
      <w:r w:rsidR="005B4801" w:rsidRPr="00E55751">
        <w:t xml:space="preserve">following Observations </w:t>
      </w:r>
      <w:r w:rsidR="008B0961" w:rsidRPr="00E55751">
        <w:t>and</w:t>
      </w:r>
      <w:r w:rsidR="005B4801">
        <w:t xml:space="preserve"> Proposals were made:</w:t>
      </w:r>
    </w:p>
    <w:p w14:paraId="2E91E1D2" w14:textId="318D7890" w:rsidR="000743F6" w:rsidRDefault="00A4355E">
      <w:pPr>
        <w:pStyle w:val="TOC4"/>
        <w:rPr>
          <w:rFonts w:asciiTheme="minorHAnsi" w:eastAsiaTheme="minorEastAsia" w:hAnsiTheme="minorHAnsi"/>
          <w:noProof/>
          <w:sz w:val="22"/>
          <w:lang w:val="da-DK" w:eastAsia="da-DK"/>
        </w:rPr>
      </w:pPr>
      <w:r>
        <w:rPr>
          <w:i/>
          <w:iCs/>
          <w:noProof/>
        </w:rPr>
        <w:fldChar w:fldCharType="begin"/>
      </w:r>
      <w:r>
        <w:rPr>
          <w:i/>
          <w:iCs/>
          <w:noProof/>
        </w:rPr>
        <w:instrText xml:space="preserve"> TOC \n \h \z \t "RAN4 proposal,5,RAN4 observation,4" </w:instrText>
      </w:r>
      <w:r>
        <w:rPr>
          <w:i/>
          <w:iCs/>
          <w:noProof/>
        </w:rPr>
        <w:fldChar w:fldCharType="separate"/>
      </w:r>
      <w:hyperlink w:anchor="_Toc118719696" w:history="1">
        <w:r w:rsidR="000743F6" w:rsidRPr="00265143">
          <w:rPr>
            <w:rStyle w:val="Hyperlink"/>
            <w:b/>
            <w:noProof/>
          </w:rPr>
          <w:t>Observation 1:</w:t>
        </w:r>
        <w:r w:rsidR="000743F6" w:rsidRPr="00265143">
          <w:rPr>
            <w:rStyle w:val="Hyperlink"/>
            <w:noProof/>
          </w:rPr>
          <w:t xml:space="preserve"> An SMTC occasion is not available at the UE if two successive candidate SSB positions for the same SSB index within are not available at the UE.</w:t>
        </w:r>
      </w:hyperlink>
    </w:p>
    <w:p w14:paraId="2D910E61" w14:textId="70A8A4F9" w:rsidR="000743F6" w:rsidRDefault="00842941">
      <w:pPr>
        <w:pStyle w:val="TOC4"/>
        <w:rPr>
          <w:rFonts w:asciiTheme="minorHAnsi" w:eastAsiaTheme="minorEastAsia" w:hAnsiTheme="minorHAnsi"/>
          <w:noProof/>
          <w:sz w:val="22"/>
          <w:lang w:val="da-DK" w:eastAsia="da-DK"/>
        </w:rPr>
      </w:pPr>
      <w:hyperlink w:anchor="_Toc118719697" w:history="1">
        <w:r w:rsidR="000743F6" w:rsidRPr="00265143">
          <w:rPr>
            <w:rStyle w:val="Hyperlink"/>
            <w:b/>
            <w:noProof/>
          </w:rPr>
          <w:t>Observation 2:</w:t>
        </w:r>
        <w:r w:rsidR="000743F6" w:rsidRPr="00265143">
          <w:rPr>
            <w:rStyle w:val="Hyperlink"/>
            <w:noProof/>
          </w:rPr>
          <w:t xml:space="preserve"> In FR2-2, and SSB/SMTC occasion group consists of 12 consecutive SSB/SMTC occasions. An SSB/SMTC occasion group is not available at the UE when at least one SSB/SMTC occasion in the group is not transmitted by the gNB. The definition of SSB/SMTC occasion follows NR-U definition.</w:t>
        </w:r>
      </w:hyperlink>
    </w:p>
    <w:p w14:paraId="30E177F4" w14:textId="42CA7B99" w:rsidR="000743F6" w:rsidRDefault="00842941">
      <w:pPr>
        <w:pStyle w:val="TOC4"/>
        <w:rPr>
          <w:rFonts w:asciiTheme="minorHAnsi" w:eastAsiaTheme="minorEastAsia" w:hAnsiTheme="minorHAnsi"/>
          <w:noProof/>
          <w:sz w:val="22"/>
          <w:lang w:val="da-DK" w:eastAsia="da-DK"/>
        </w:rPr>
      </w:pPr>
      <w:hyperlink w:anchor="_Toc118719698" w:history="1">
        <w:r w:rsidR="000743F6" w:rsidRPr="00265143">
          <w:rPr>
            <w:rStyle w:val="Hyperlink"/>
            <w:b/>
            <w:noProof/>
          </w:rPr>
          <w:t>Observation 3:</w:t>
        </w:r>
        <w:r w:rsidR="000743F6" w:rsidRPr="00265143">
          <w:rPr>
            <w:rStyle w:val="Hyperlink"/>
            <w:noProof/>
          </w:rPr>
          <w:t xml:space="preserve"> In most of the cases, only 1 SSB/SMTC occasion will fail in a group of 12 consecutive SSB/SMTC occasions.</w:t>
        </w:r>
      </w:hyperlink>
    </w:p>
    <w:p w14:paraId="54C3A7E0" w14:textId="778A14C2" w:rsidR="000743F6" w:rsidRDefault="00842941">
      <w:pPr>
        <w:pStyle w:val="TOC4"/>
        <w:rPr>
          <w:rFonts w:asciiTheme="minorHAnsi" w:eastAsiaTheme="minorEastAsia" w:hAnsiTheme="minorHAnsi"/>
          <w:noProof/>
          <w:sz w:val="22"/>
          <w:lang w:val="da-DK" w:eastAsia="da-DK"/>
        </w:rPr>
      </w:pPr>
      <w:hyperlink w:anchor="_Toc118719699" w:history="1">
        <w:r w:rsidR="000743F6" w:rsidRPr="00265143">
          <w:rPr>
            <w:rStyle w:val="Hyperlink"/>
            <w:b/>
            <w:noProof/>
          </w:rPr>
          <w:t>Observation 4:</w:t>
        </w:r>
        <w:r w:rsidR="000743F6" w:rsidRPr="00265143">
          <w:rPr>
            <w:rStyle w:val="Hyperlink"/>
            <w:noProof/>
          </w:rPr>
          <w:t xml:space="preserve"> The probability that 12 consecutive SSB/SMTC occasions are transmitted is smaller than the probability of CCA success for the transmission of 1 SSB/SMTC occasion.</w:t>
        </w:r>
      </w:hyperlink>
    </w:p>
    <w:p w14:paraId="710C2D37" w14:textId="711DD963" w:rsidR="000743F6" w:rsidRDefault="00842941">
      <w:pPr>
        <w:pStyle w:val="TOC4"/>
        <w:rPr>
          <w:rFonts w:asciiTheme="minorHAnsi" w:eastAsiaTheme="minorEastAsia" w:hAnsiTheme="minorHAnsi"/>
          <w:noProof/>
          <w:sz w:val="22"/>
          <w:lang w:val="da-DK" w:eastAsia="da-DK"/>
        </w:rPr>
      </w:pPr>
      <w:hyperlink w:anchor="_Toc118719700" w:history="1">
        <w:r w:rsidR="000743F6" w:rsidRPr="00265143">
          <w:rPr>
            <w:rStyle w:val="Hyperlink"/>
            <w:b/>
            <w:noProof/>
          </w:rPr>
          <w:t>Observation 5:</w:t>
        </w:r>
        <w:r w:rsidR="000743F6" w:rsidRPr="00265143">
          <w:rPr>
            <w:rStyle w:val="Hyperlink"/>
            <w:noProof/>
          </w:rPr>
          <w:t xml:space="preserve"> There is a difference between the DL CCA failure and the observed SSB/SMTC occasion failure at the UE due to the Rx beam sweeping. If only one failure occurs in a group in the DL CCA model, the probability that this DL CCA failure is observed by the UE is very small, because it would require that the failure occurs exactly when the Rx beam is aligned with the SSB.</w:t>
        </w:r>
      </w:hyperlink>
    </w:p>
    <w:p w14:paraId="7B2F85F2" w14:textId="521D75E5" w:rsidR="000743F6" w:rsidRDefault="00842941">
      <w:pPr>
        <w:pStyle w:val="TOC5"/>
        <w:tabs>
          <w:tab w:val="right" w:leader="dot" w:pos="9617"/>
        </w:tabs>
        <w:rPr>
          <w:rFonts w:asciiTheme="minorHAnsi" w:eastAsiaTheme="minorEastAsia" w:hAnsiTheme="minorHAnsi"/>
          <w:b w:val="0"/>
          <w:noProof/>
          <w:sz w:val="22"/>
          <w:lang w:val="da-DK" w:eastAsia="da-DK"/>
        </w:rPr>
      </w:pPr>
      <w:hyperlink w:anchor="_Toc118719701" w:history="1">
        <w:r w:rsidR="000743F6" w:rsidRPr="00265143">
          <w:rPr>
            <w:rStyle w:val="Hyperlink"/>
            <w:noProof/>
            <w:lang w:val="en-GB"/>
          </w:rPr>
          <w:t>Proposal 1: DL LBT model is given by:</w:t>
        </w:r>
      </w:hyperlink>
    </w:p>
    <w:p w14:paraId="69329590" w14:textId="7E372A88" w:rsidR="000743F6" w:rsidRDefault="00842941">
      <w:pPr>
        <w:pStyle w:val="TOC5"/>
        <w:tabs>
          <w:tab w:val="left" w:pos="400"/>
          <w:tab w:val="right" w:leader="dot" w:pos="9617"/>
        </w:tabs>
        <w:rPr>
          <w:rFonts w:asciiTheme="minorHAnsi" w:eastAsiaTheme="minorEastAsia" w:hAnsiTheme="minorHAnsi"/>
          <w:b w:val="0"/>
          <w:noProof/>
          <w:sz w:val="22"/>
          <w:lang w:val="da-DK" w:eastAsia="da-DK"/>
        </w:rPr>
      </w:pPr>
      <w:hyperlink w:anchor="_Toc118719702" w:history="1">
        <w:r w:rsidR="000743F6" w:rsidRPr="00265143">
          <w:rPr>
            <w:rStyle w:val="Hyperlink"/>
            <w:rFonts w:ascii="Symbol" w:hAnsi="Symbol"/>
            <w:noProof/>
            <w:lang w:val="en-GB"/>
          </w:rPr>
          <w:t></w:t>
        </w:r>
        <w:r w:rsidR="000743F6">
          <w:rPr>
            <w:rFonts w:asciiTheme="minorHAnsi" w:eastAsiaTheme="minorEastAsia" w:hAnsiTheme="minorHAnsi"/>
            <w:b w:val="0"/>
            <w:noProof/>
            <w:sz w:val="22"/>
            <w:lang w:val="da-DK" w:eastAsia="da-DK"/>
          </w:rPr>
          <w:tab/>
        </w:r>
        <w:r w:rsidR="000743F6" w:rsidRPr="00265143">
          <w:rPr>
            <w:rStyle w:val="Hyperlink"/>
            <w:noProof/>
            <w:lang w:val="en-GB"/>
          </w:rPr>
          <w:t>TE generates a uniform random variable p from the range [0,1].</w:t>
        </w:r>
      </w:hyperlink>
    </w:p>
    <w:p w14:paraId="54A0B0DE" w14:textId="157AB825" w:rsidR="000743F6" w:rsidRDefault="00842941">
      <w:pPr>
        <w:pStyle w:val="TOC5"/>
        <w:tabs>
          <w:tab w:val="left" w:pos="400"/>
          <w:tab w:val="right" w:leader="dot" w:pos="9617"/>
        </w:tabs>
        <w:rPr>
          <w:rFonts w:asciiTheme="minorHAnsi" w:eastAsiaTheme="minorEastAsia" w:hAnsiTheme="minorHAnsi"/>
          <w:b w:val="0"/>
          <w:noProof/>
          <w:sz w:val="22"/>
          <w:lang w:val="da-DK" w:eastAsia="da-DK"/>
        </w:rPr>
      </w:pPr>
      <w:hyperlink w:anchor="_Toc118719703" w:history="1">
        <w:r w:rsidR="000743F6" w:rsidRPr="00265143">
          <w:rPr>
            <w:rStyle w:val="Hyperlink"/>
            <w:rFonts w:ascii="Symbol" w:hAnsi="Symbol"/>
            <w:noProof/>
            <w:lang w:val="en-GB"/>
          </w:rPr>
          <w:t></w:t>
        </w:r>
        <w:r w:rsidR="000743F6">
          <w:rPr>
            <w:rFonts w:asciiTheme="minorHAnsi" w:eastAsiaTheme="minorEastAsia" w:hAnsiTheme="minorHAnsi"/>
            <w:b w:val="0"/>
            <w:noProof/>
            <w:sz w:val="22"/>
            <w:lang w:val="da-DK" w:eastAsia="da-DK"/>
          </w:rPr>
          <w:tab/>
        </w:r>
        <w:r w:rsidR="000743F6" w:rsidRPr="00265143">
          <w:rPr>
            <w:rStyle w:val="Hyperlink"/>
            <w:noProof/>
            <w:lang w:val="en-GB"/>
          </w:rPr>
          <w:t xml:space="preserve">If p </w:t>
        </w:r>
        <m:oMath>
          <m:r>
            <m:rPr>
              <m:sty m:val="bi"/>
            </m:rPr>
            <w:rPr>
              <w:rStyle w:val="Hyperlink"/>
              <w:rFonts w:ascii="Cambria Math" w:hAnsi="Cambria Math"/>
              <w:noProof/>
              <w:lang w:val="en-GB"/>
            </w:rPr>
            <m:t>≤</m:t>
          </m:r>
        </m:oMath>
        <w:r w:rsidR="000743F6" w:rsidRPr="00265143">
          <w:rPr>
            <w:rStyle w:val="Hyperlink"/>
            <w:noProof/>
            <w:lang w:val="en-GB"/>
          </w:rPr>
          <w:t xml:space="preserve"> P</w:t>
        </w:r>
        <w:r w:rsidR="000743F6" w:rsidRPr="00265143">
          <w:rPr>
            <w:rStyle w:val="Hyperlink"/>
            <w:noProof/>
            <w:vertAlign w:val="subscript"/>
            <w:lang w:val="en-GB"/>
          </w:rPr>
          <w:t>CCA_DL</w:t>
        </w:r>
        <w:r w:rsidR="000743F6" w:rsidRPr="00265143">
          <w:rPr>
            <w:rStyle w:val="Hyperlink"/>
            <w:noProof/>
            <w:lang w:val="en-GB"/>
          </w:rPr>
          <w:t>, TE transmit 12 consecutive SSB/SMTC occasions.</w:t>
        </w:r>
      </w:hyperlink>
    </w:p>
    <w:p w14:paraId="33AE22A5" w14:textId="693EF89D" w:rsidR="000743F6" w:rsidRDefault="00842941">
      <w:pPr>
        <w:pStyle w:val="TOC5"/>
        <w:tabs>
          <w:tab w:val="left" w:pos="400"/>
          <w:tab w:val="right" w:leader="dot" w:pos="9617"/>
        </w:tabs>
        <w:rPr>
          <w:rFonts w:asciiTheme="minorHAnsi" w:eastAsiaTheme="minorEastAsia" w:hAnsiTheme="minorHAnsi"/>
          <w:b w:val="0"/>
          <w:noProof/>
          <w:sz w:val="22"/>
          <w:lang w:val="da-DK" w:eastAsia="da-DK"/>
        </w:rPr>
      </w:pPr>
      <w:hyperlink w:anchor="_Toc118719704" w:history="1">
        <w:r w:rsidR="000743F6" w:rsidRPr="00265143">
          <w:rPr>
            <w:rStyle w:val="Hyperlink"/>
            <w:rFonts w:ascii="Symbol" w:hAnsi="Symbol"/>
            <w:noProof/>
            <w:lang w:val="en-GB"/>
          </w:rPr>
          <w:t></w:t>
        </w:r>
        <w:r w:rsidR="000743F6">
          <w:rPr>
            <w:rFonts w:asciiTheme="minorHAnsi" w:eastAsiaTheme="minorEastAsia" w:hAnsiTheme="minorHAnsi"/>
            <w:b w:val="0"/>
            <w:noProof/>
            <w:sz w:val="22"/>
            <w:lang w:val="da-DK" w:eastAsia="da-DK"/>
          </w:rPr>
          <w:tab/>
        </w:r>
        <w:r w:rsidR="000743F6" w:rsidRPr="00265143">
          <w:rPr>
            <w:rStyle w:val="Hyperlink"/>
            <w:noProof/>
            <w:lang w:val="en-GB"/>
          </w:rPr>
          <w:t xml:space="preserve">If p </w:t>
        </w:r>
        <m:oMath>
          <m:r>
            <m:rPr>
              <m:sty m:val="bi"/>
            </m:rPr>
            <w:rPr>
              <w:rStyle w:val="Hyperlink"/>
              <w:rFonts w:ascii="Cambria Math" w:hAnsi="Cambria Math"/>
              <w:noProof/>
              <w:lang w:val="en-GB"/>
            </w:rPr>
            <m:t>&gt;</m:t>
          </m:r>
        </m:oMath>
        <w:r w:rsidR="000743F6" w:rsidRPr="00265143">
          <w:rPr>
            <w:rStyle w:val="Hyperlink"/>
            <w:noProof/>
            <w:lang w:val="en-GB"/>
          </w:rPr>
          <w:t xml:space="preserve"> P</w:t>
        </w:r>
        <w:r w:rsidR="000743F6" w:rsidRPr="00265143">
          <w:rPr>
            <w:rStyle w:val="Hyperlink"/>
            <w:noProof/>
            <w:vertAlign w:val="subscript"/>
            <w:lang w:val="en-GB"/>
          </w:rPr>
          <w:t xml:space="preserve">CCA_DL </w:t>
        </w:r>
        <w:r w:rsidR="000743F6" w:rsidRPr="00265143">
          <w:rPr>
            <w:rStyle w:val="Hyperlink"/>
            <w:noProof/>
            <w:lang w:val="en-GB"/>
          </w:rPr>
          <w:t>TE does not transmit one SSB/SMTC occasion out of 12 consecutive SSB/SMTC occasions, and this SSB/SMTC occasion group is considered unavailable.</w:t>
        </w:r>
      </w:hyperlink>
    </w:p>
    <w:p w14:paraId="3A73E04B" w14:textId="079DBEFD" w:rsidR="000743F6" w:rsidRDefault="00842941">
      <w:pPr>
        <w:pStyle w:val="TOC5"/>
        <w:tabs>
          <w:tab w:val="left" w:pos="400"/>
          <w:tab w:val="right" w:leader="dot" w:pos="9617"/>
        </w:tabs>
        <w:rPr>
          <w:rFonts w:asciiTheme="minorHAnsi" w:eastAsiaTheme="minorEastAsia" w:hAnsiTheme="minorHAnsi"/>
          <w:b w:val="0"/>
          <w:noProof/>
          <w:sz w:val="22"/>
          <w:lang w:val="da-DK" w:eastAsia="da-DK"/>
        </w:rPr>
      </w:pPr>
      <w:hyperlink w:anchor="_Toc118719705" w:history="1">
        <w:r w:rsidR="000743F6" w:rsidRPr="00265143">
          <w:rPr>
            <w:rStyle w:val="Hyperlink"/>
            <w:rFonts w:ascii="Courier New" w:hAnsi="Courier New" w:cs="Courier New"/>
            <w:noProof/>
            <w:lang w:val="en-GB"/>
          </w:rPr>
          <w:t>o</w:t>
        </w:r>
        <w:r w:rsidR="000743F6">
          <w:rPr>
            <w:rFonts w:asciiTheme="minorHAnsi" w:eastAsiaTheme="minorEastAsia" w:hAnsiTheme="minorHAnsi"/>
            <w:b w:val="0"/>
            <w:noProof/>
            <w:sz w:val="22"/>
            <w:lang w:val="da-DK" w:eastAsia="da-DK"/>
          </w:rPr>
          <w:tab/>
        </w:r>
        <w:r w:rsidR="000743F6" w:rsidRPr="00265143">
          <w:rPr>
            <w:rStyle w:val="Hyperlink"/>
            <w:noProof/>
            <w:lang w:val="en-GB"/>
          </w:rPr>
          <w:t>The failed SSB/SMTC occasion within the group is selected out randomly.</w:t>
        </w:r>
      </w:hyperlink>
    </w:p>
    <w:p w14:paraId="0A707A9C" w14:textId="301293FA" w:rsidR="000743F6" w:rsidRDefault="00842941">
      <w:pPr>
        <w:pStyle w:val="TOC5"/>
        <w:tabs>
          <w:tab w:val="left" w:pos="400"/>
          <w:tab w:val="right" w:leader="dot" w:pos="9617"/>
        </w:tabs>
        <w:rPr>
          <w:rFonts w:asciiTheme="minorHAnsi" w:eastAsiaTheme="minorEastAsia" w:hAnsiTheme="minorHAnsi"/>
          <w:b w:val="0"/>
          <w:noProof/>
          <w:sz w:val="22"/>
          <w:lang w:val="da-DK" w:eastAsia="da-DK"/>
        </w:rPr>
      </w:pPr>
      <w:hyperlink w:anchor="_Toc118719706" w:history="1">
        <w:r w:rsidR="000743F6" w:rsidRPr="00265143">
          <w:rPr>
            <w:rStyle w:val="Hyperlink"/>
            <w:rFonts w:ascii="Symbol" w:hAnsi="Symbol"/>
            <w:noProof/>
            <w:lang w:val="en-GB"/>
          </w:rPr>
          <w:t></w:t>
        </w:r>
        <w:r w:rsidR="000743F6">
          <w:rPr>
            <w:rFonts w:asciiTheme="minorHAnsi" w:eastAsiaTheme="minorEastAsia" w:hAnsiTheme="minorHAnsi"/>
            <w:b w:val="0"/>
            <w:noProof/>
            <w:sz w:val="22"/>
            <w:lang w:val="da-DK" w:eastAsia="da-DK"/>
          </w:rPr>
          <w:tab/>
        </w:r>
        <w:r w:rsidR="000743F6" w:rsidRPr="00265143">
          <w:rPr>
            <w:rStyle w:val="Hyperlink"/>
            <w:noProof/>
            <w:lang w:val="en-GB"/>
          </w:rPr>
          <w:t>The rate of correct tests observed during repeated tests shall be at least 99%.</w:t>
        </w:r>
      </w:hyperlink>
    </w:p>
    <w:p w14:paraId="313FE7E5" w14:textId="181C7297" w:rsidR="00404C4C" w:rsidRDefault="00A4355E">
      <w:pPr>
        <w:rPr>
          <w:rFonts w:ascii="Arial" w:eastAsia="SimSun" w:hAnsi="Arial" w:cs="Times New Roman"/>
          <w:sz w:val="36"/>
          <w:szCs w:val="20"/>
        </w:rPr>
      </w:pPr>
      <w:r>
        <w:rPr>
          <w:i/>
          <w:iCs/>
          <w:noProof/>
          <w:u w:val="single"/>
        </w:rPr>
        <w:lastRenderedPageBreak/>
        <w:fldChar w:fldCharType="end"/>
      </w:r>
      <w:r w:rsidR="005D2BB7" w:rsidRPr="00FE305C">
        <w:rPr>
          <w:highlight w:val="yellow"/>
        </w:rPr>
        <w:t xml:space="preserve"> </w:t>
      </w:r>
      <w:bookmarkStart w:id="37" w:name="_Toc116995849"/>
    </w:p>
    <w:p w14:paraId="7BB019C6" w14:textId="77777777" w:rsidR="003B659E" w:rsidRPr="00EF698B" w:rsidRDefault="003B659E" w:rsidP="005C23A4">
      <w:pPr>
        <w:pStyle w:val="RAN4H1"/>
        <w:numPr>
          <w:ilvl w:val="0"/>
          <w:numId w:val="0"/>
        </w:numPr>
        <w:ind w:left="360" w:hanging="360"/>
        <w:rPr>
          <w:lang w:val="en-US"/>
        </w:rPr>
      </w:pPr>
      <w:r w:rsidRPr="00EF698B">
        <w:rPr>
          <w:lang w:val="en-US"/>
        </w:rPr>
        <w:t>References</w:t>
      </w:r>
      <w:bookmarkEnd w:id="37"/>
    </w:p>
    <w:p w14:paraId="688E0DD2" w14:textId="7F50BE50" w:rsidR="00FA7AC8" w:rsidRDefault="00FA7AC8" w:rsidP="00D66188">
      <w:pPr>
        <w:pStyle w:val="ListParagraph"/>
        <w:numPr>
          <w:ilvl w:val="0"/>
          <w:numId w:val="21"/>
        </w:numPr>
        <w:ind w:right="-22"/>
      </w:pPr>
      <w:bookmarkStart w:id="38" w:name="_Ref114500673"/>
      <w:bookmarkStart w:id="39" w:name="_Ref117677987"/>
      <w:bookmarkEnd w:id="38"/>
      <w:r w:rsidRPr="00FA7AC8">
        <w:t>R4-2217194</w:t>
      </w:r>
      <w:r>
        <w:t xml:space="preserve">, </w:t>
      </w:r>
      <w:r w:rsidRPr="00FA7AC8">
        <w:t>WF on NR extension to 71 GHz RRM performance requirements</w:t>
      </w:r>
      <w:r>
        <w:t>, RAN4 #104bis-e, Qualcomm</w:t>
      </w:r>
      <w:bookmarkStart w:id="40" w:name="_Ref117252489"/>
      <w:bookmarkEnd w:id="39"/>
    </w:p>
    <w:p w14:paraId="5C53FFCD" w14:textId="5900ED52" w:rsidR="00470344" w:rsidRDefault="00470344" w:rsidP="00470344">
      <w:pPr>
        <w:pStyle w:val="ListParagraph"/>
        <w:numPr>
          <w:ilvl w:val="0"/>
          <w:numId w:val="21"/>
        </w:numPr>
        <w:ind w:right="-22"/>
      </w:pPr>
      <w:bookmarkStart w:id="41" w:name="_Ref117677993"/>
      <w:r w:rsidRPr="00470344">
        <w:t>R4-2214478</w:t>
      </w:r>
      <w:r>
        <w:t xml:space="preserve">, </w:t>
      </w:r>
      <w:r w:rsidRPr="00FA7AC8">
        <w:t>WF on NR extension to 71 GHz RRM performance requirements</w:t>
      </w:r>
      <w:r>
        <w:t>, RAN4 #104-e, Qualcomm</w:t>
      </w:r>
    </w:p>
    <w:p w14:paraId="237B0034" w14:textId="0FA0DC89" w:rsidR="0039344C" w:rsidRDefault="0039344C" w:rsidP="00470344">
      <w:pPr>
        <w:pStyle w:val="ListParagraph"/>
        <w:numPr>
          <w:ilvl w:val="0"/>
          <w:numId w:val="21"/>
        </w:numPr>
        <w:ind w:right="-22"/>
      </w:pPr>
      <w:bookmarkStart w:id="42" w:name="_Ref117679017"/>
      <w:r w:rsidRPr="0039344C">
        <w:t>R4-2206924 WF on NR extension to 71 GHz RRM requirements (Part 2)</w:t>
      </w:r>
      <w:r>
        <w:t xml:space="preserve">, RAN4#102-e, </w:t>
      </w:r>
      <w:r w:rsidRPr="0039344C">
        <w:t>Intel Corporation</w:t>
      </w:r>
      <w:bookmarkEnd w:id="42"/>
    </w:p>
    <w:p w14:paraId="18050CB8" w14:textId="1E3B289C" w:rsidR="00047534" w:rsidRDefault="00047534" w:rsidP="00470344">
      <w:pPr>
        <w:pStyle w:val="ListParagraph"/>
        <w:numPr>
          <w:ilvl w:val="0"/>
          <w:numId w:val="21"/>
        </w:numPr>
        <w:ind w:right="-22"/>
      </w:pPr>
      <w:bookmarkStart w:id="43" w:name="_Ref117762733"/>
      <w:r w:rsidRPr="00047534">
        <w:t>R4-2200873</w:t>
      </w:r>
      <w:r>
        <w:t>, LBT impacts on NR RRM requirements for extension to 71 GHz, RAN4 #101bis-e, Nokia, Nokia Shanghai Bell</w:t>
      </w:r>
      <w:bookmarkEnd w:id="43"/>
    </w:p>
    <w:bookmarkEnd w:id="40"/>
    <w:bookmarkEnd w:id="41"/>
    <w:p w14:paraId="7F5393E4" w14:textId="77777777" w:rsidR="000040DC" w:rsidRPr="000040DC" w:rsidRDefault="000040DC" w:rsidP="000040DC">
      <w:pPr>
        <w:ind w:right="-22"/>
        <w:rPr>
          <w:highlight w:val="yellow"/>
        </w:rPr>
      </w:pPr>
    </w:p>
    <w:sectPr w:rsidR="000040DC" w:rsidRP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0FCC5" w14:textId="77777777" w:rsidR="00842941" w:rsidRDefault="00842941" w:rsidP="00001C9B">
      <w:pPr>
        <w:spacing w:after="0" w:line="240" w:lineRule="auto"/>
      </w:pPr>
      <w:r>
        <w:separator/>
      </w:r>
    </w:p>
  </w:endnote>
  <w:endnote w:type="continuationSeparator" w:id="0">
    <w:p w14:paraId="7F4A56A8" w14:textId="77777777" w:rsidR="00842941" w:rsidRDefault="00842941" w:rsidP="00001C9B">
      <w:pPr>
        <w:spacing w:after="0" w:line="240" w:lineRule="auto"/>
      </w:pPr>
      <w:r>
        <w:continuationSeparator/>
      </w:r>
    </w:p>
  </w:endnote>
  <w:endnote w:type="continuationNotice" w:id="1">
    <w:p w14:paraId="1DD161E4" w14:textId="77777777" w:rsidR="00842941" w:rsidRDefault="008429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badi">
    <w:charset w:val="00"/>
    <w:family w:val="swiss"/>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29CDD" w14:textId="77777777" w:rsidR="00842941" w:rsidRDefault="00842941" w:rsidP="00001C9B">
      <w:pPr>
        <w:spacing w:after="0" w:line="240" w:lineRule="auto"/>
      </w:pPr>
      <w:r>
        <w:separator/>
      </w:r>
    </w:p>
  </w:footnote>
  <w:footnote w:type="continuationSeparator" w:id="0">
    <w:p w14:paraId="1D5D35A0" w14:textId="77777777" w:rsidR="00842941" w:rsidRDefault="00842941" w:rsidP="00001C9B">
      <w:pPr>
        <w:spacing w:after="0" w:line="240" w:lineRule="auto"/>
      </w:pPr>
      <w:r>
        <w:continuationSeparator/>
      </w:r>
    </w:p>
  </w:footnote>
  <w:footnote w:type="continuationNotice" w:id="1">
    <w:p w14:paraId="559097CB" w14:textId="77777777" w:rsidR="00842941" w:rsidRDefault="008429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4548E5"/>
    <w:multiLevelType w:val="multilevel"/>
    <w:tmpl w:val="347CF5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530E4B"/>
    <w:multiLevelType w:val="hybridMultilevel"/>
    <w:tmpl w:val="ECC60E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FD28C6"/>
    <w:multiLevelType w:val="hybridMultilevel"/>
    <w:tmpl w:val="8A8CC7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20564C29"/>
    <w:multiLevelType w:val="multilevel"/>
    <w:tmpl w:val="2286B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F47ED1"/>
    <w:multiLevelType w:val="multilevel"/>
    <w:tmpl w:val="B4E8C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C17059"/>
    <w:multiLevelType w:val="multilevel"/>
    <w:tmpl w:val="C71CF5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901BBC"/>
    <w:multiLevelType w:val="multilevel"/>
    <w:tmpl w:val="49641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F06CC4"/>
    <w:multiLevelType w:val="hybridMultilevel"/>
    <w:tmpl w:val="72DA86B6"/>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9037DA"/>
    <w:multiLevelType w:val="multilevel"/>
    <w:tmpl w:val="CBA637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283E94"/>
    <w:multiLevelType w:val="multilevel"/>
    <w:tmpl w:val="D3483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566BE6"/>
    <w:multiLevelType w:val="hybridMultilevel"/>
    <w:tmpl w:val="522012B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04F681A"/>
    <w:multiLevelType w:val="hybridMultilevel"/>
    <w:tmpl w:val="F7BC6A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15"/>
  </w:num>
  <w:num w:numId="4">
    <w:abstractNumId w:val="8"/>
  </w:num>
  <w:num w:numId="5">
    <w:abstractNumId w:val="23"/>
  </w:num>
  <w:num w:numId="6">
    <w:abstractNumId w:val="12"/>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2"/>
    <w:lvlOverride w:ilvl="0">
      <w:startOverride w:val="1"/>
    </w:lvlOverride>
  </w:num>
  <w:num w:numId="12">
    <w:abstractNumId w:val="14"/>
    <w:lvlOverride w:ilvl="0">
      <w:startOverride w:val="1"/>
    </w:lvlOverride>
  </w:num>
  <w:num w:numId="13">
    <w:abstractNumId w:val="12"/>
    <w:lvlOverride w:ilvl="0">
      <w:startOverride w:val="1"/>
    </w:lvlOverride>
  </w:num>
  <w:num w:numId="14">
    <w:abstractNumId w:val="14"/>
    <w:lvlOverride w:ilvl="0">
      <w:startOverride w:val="1"/>
    </w:lvlOverride>
  </w:num>
  <w:num w:numId="15">
    <w:abstractNumId w:val="25"/>
  </w:num>
  <w:num w:numId="16">
    <w:abstractNumId w:val="5"/>
  </w:num>
  <w:num w:numId="17">
    <w:abstractNumId w:val="22"/>
  </w:num>
  <w:num w:numId="1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8"/>
  </w:num>
  <w:num w:numId="22">
    <w:abstractNumId w:val="12"/>
    <w:lvlOverride w:ilvl="0">
      <w:startOverride w:val="1"/>
    </w:lvlOverride>
  </w:num>
  <w:num w:numId="23">
    <w:abstractNumId w:val="14"/>
    <w:lvlOverride w:ilvl="0">
      <w:startOverride w:val="1"/>
    </w:lvlOverride>
  </w:num>
  <w:num w:numId="24">
    <w:abstractNumId w:val="4"/>
  </w:num>
  <w:num w:numId="25">
    <w:abstractNumId w:val="0"/>
  </w:num>
  <w:num w:numId="26">
    <w:abstractNumId w:val="0"/>
    <w:lvlOverride w:ilvl="0">
      <w:startOverride w:val="1"/>
    </w:lvlOverride>
  </w:num>
  <w:num w:numId="27">
    <w:abstractNumId w:val="20"/>
  </w:num>
  <w:num w:numId="28">
    <w:abstractNumId w:val="19"/>
  </w:num>
  <w:num w:numId="29">
    <w:abstractNumId w:val="13"/>
  </w:num>
  <w:num w:numId="30">
    <w:abstractNumId w:val="7"/>
  </w:num>
  <w:num w:numId="31">
    <w:abstractNumId w:val="16"/>
    <w:lvlOverride w:ilvl="0">
      <w:startOverride w:val="2"/>
    </w:lvlOverride>
  </w:num>
  <w:num w:numId="32">
    <w:abstractNumId w:val="10"/>
  </w:num>
  <w:num w:numId="33">
    <w:abstractNumId w:val="2"/>
  </w:num>
  <w:num w:numId="34">
    <w:abstractNumId w:val="6"/>
  </w:num>
  <w:num w:numId="35">
    <w:abstractNumId w:val="17"/>
  </w:num>
  <w:num w:numId="36">
    <w:abstractNumId w:val="3"/>
  </w:num>
  <w:num w:numId="37">
    <w:abstractNumId w:val="24"/>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D570CC"/>
    <w:rsid w:val="00001C9B"/>
    <w:rsid w:val="000021A7"/>
    <w:rsid w:val="00003BA8"/>
    <w:rsid w:val="000040DC"/>
    <w:rsid w:val="00010891"/>
    <w:rsid w:val="000151EF"/>
    <w:rsid w:val="000239F5"/>
    <w:rsid w:val="000241AD"/>
    <w:rsid w:val="000252F8"/>
    <w:rsid w:val="00026CA8"/>
    <w:rsid w:val="00032143"/>
    <w:rsid w:val="00034E51"/>
    <w:rsid w:val="0003700E"/>
    <w:rsid w:val="00044233"/>
    <w:rsid w:val="00047534"/>
    <w:rsid w:val="000503AC"/>
    <w:rsid w:val="00062308"/>
    <w:rsid w:val="00070609"/>
    <w:rsid w:val="000743F6"/>
    <w:rsid w:val="0008497C"/>
    <w:rsid w:val="0008612A"/>
    <w:rsid w:val="00090E18"/>
    <w:rsid w:val="00094C4F"/>
    <w:rsid w:val="000A10BC"/>
    <w:rsid w:val="000A4A9D"/>
    <w:rsid w:val="000A5352"/>
    <w:rsid w:val="000A5D4E"/>
    <w:rsid w:val="000B0056"/>
    <w:rsid w:val="000C3C7B"/>
    <w:rsid w:val="000D0F93"/>
    <w:rsid w:val="000D27E7"/>
    <w:rsid w:val="000D54CA"/>
    <w:rsid w:val="000D5FCE"/>
    <w:rsid w:val="000D6F62"/>
    <w:rsid w:val="000E3A9F"/>
    <w:rsid w:val="000E5461"/>
    <w:rsid w:val="000E7810"/>
    <w:rsid w:val="000F59C5"/>
    <w:rsid w:val="00106416"/>
    <w:rsid w:val="00110481"/>
    <w:rsid w:val="00110CC3"/>
    <w:rsid w:val="001127C9"/>
    <w:rsid w:val="00115B88"/>
    <w:rsid w:val="00115CC0"/>
    <w:rsid w:val="0013026B"/>
    <w:rsid w:val="00132F6A"/>
    <w:rsid w:val="00133913"/>
    <w:rsid w:val="00136995"/>
    <w:rsid w:val="00137C73"/>
    <w:rsid w:val="00140221"/>
    <w:rsid w:val="00140C7C"/>
    <w:rsid w:val="00146153"/>
    <w:rsid w:val="0015371F"/>
    <w:rsid w:val="00157507"/>
    <w:rsid w:val="001602D9"/>
    <w:rsid w:val="001642FC"/>
    <w:rsid w:val="0016496B"/>
    <w:rsid w:val="0016782E"/>
    <w:rsid w:val="001743E2"/>
    <w:rsid w:val="001745F8"/>
    <w:rsid w:val="0017522E"/>
    <w:rsid w:val="00175771"/>
    <w:rsid w:val="00175AF4"/>
    <w:rsid w:val="00175E71"/>
    <w:rsid w:val="00181112"/>
    <w:rsid w:val="001838CF"/>
    <w:rsid w:val="001868EE"/>
    <w:rsid w:val="00191C28"/>
    <w:rsid w:val="00192AB1"/>
    <w:rsid w:val="001A28DF"/>
    <w:rsid w:val="001A3BA4"/>
    <w:rsid w:val="001A6D1F"/>
    <w:rsid w:val="001A742A"/>
    <w:rsid w:val="001B5761"/>
    <w:rsid w:val="001C1BE4"/>
    <w:rsid w:val="001D0CEE"/>
    <w:rsid w:val="001E30F6"/>
    <w:rsid w:val="001F1565"/>
    <w:rsid w:val="001F2EA9"/>
    <w:rsid w:val="0020063D"/>
    <w:rsid w:val="002022CF"/>
    <w:rsid w:val="002053D1"/>
    <w:rsid w:val="00217A57"/>
    <w:rsid w:val="00217A65"/>
    <w:rsid w:val="00217EE5"/>
    <w:rsid w:val="00221D58"/>
    <w:rsid w:val="00232294"/>
    <w:rsid w:val="00235F5C"/>
    <w:rsid w:val="00235FA6"/>
    <w:rsid w:val="00236818"/>
    <w:rsid w:val="0025735F"/>
    <w:rsid w:val="00257F22"/>
    <w:rsid w:val="002633AA"/>
    <w:rsid w:val="00272697"/>
    <w:rsid w:val="00277B56"/>
    <w:rsid w:val="00282AB2"/>
    <w:rsid w:val="00283092"/>
    <w:rsid w:val="00291170"/>
    <w:rsid w:val="0029674C"/>
    <w:rsid w:val="002A0554"/>
    <w:rsid w:val="002A14E3"/>
    <w:rsid w:val="002A19F5"/>
    <w:rsid w:val="002A688D"/>
    <w:rsid w:val="002B0B13"/>
    <w:rsid w:val="002B4922"/>
    <w:rsid w:val="002C197E"/>
    <w:rsid w:val="002C22C3"/>
    <w:rsid w:val="002C2D19"/>
    <w:rsid w:val="002D10FA"/>
    <w:rsid w:val="002D4C55"/>
    <w:rsid w:val="002E1F9D"/>
    <w:rsid w:val="002E6358"/>
    <w:rsid w:val="002E6DED"/>
    <w:rsid w:val="002F6186"/>
    <w:rsid w:val="00300956"/>
    <w:rsid w:val="00317187"/>
    <w:rsid w:val="0032499A"/>
    <w:rsid w:val="003249FF"/>
    <w:rsid w:val="0032603B"/>
    <w:rsid w:val="003341F7"/>
    <w:rsid w:val="00341244"/>
    <w:rsid w:val="00341CEE"/>
    <w:rsid w:val="003457D9"/>
    <w:rsid w:val="00347229"/>
    <w:rsid w:val="0035108B"/>
    <w:rsid w:val="00356F45"/>
    <w:rsid w:val="00366B74"/>
    <w:rsid w:val="00387BF0"/>
    <w:rsid w:val="0039344C"/>
    <w:rsid w:val="003A42C8"/>
    <w:rsid w:val="003A710A"/>
    <w:rsid w:val="003B44F4"/>
    <w:rsid w:val="003B539C"/>
    <w:rsid w:val="003B659E"/>
    <w:rsid w:val="003D5638"/>
    <w:rsid w:val="003F765E"/>
    <w:rsid w:val="00404C4C"/>
    <w:rsid w:val="0041423F"/>
    <w:rsid w:val="00414F81"/>
    <w:rsid w:val="004223BF"/>
    <w:rsid w:val="00423798"/>
    <w:rsid w:val="00435C51"/>
    <w:rsid w:val="00436A0F"/>
    <w:rsid w:val="00437150"/>
    <w:rsid w:val="0043750A"/>
    <w:rsid w:val="004411AE"/>
    <w:rsid w:val="00454B10"/>
    <w:rsid w:val="00460096"/>
    <w:rsid w:val="00462DE2"/>
    <w:rsid w:val="00463F59"/>
    <w:rsid w:val="0046567F"/>
    <w:rsid w:val="00470344"/>
    <w:rsid w:val="00471BF2"/>
    <w:rsid w:val="004732E9"/>
    <w:rsid w:val="00480BB1"/>
    <w:rsid w:val="004854BB"/>
    <w:rsid w:val="00490CA4"/>
    <w:rsid w:val="00490F78"/>
    <w:rsid w:val="00492C29"/>
    <w:rsid w:val="00494BE5"/>
    <w:rsid w:val="00496606"/>
    <w:rsid w:val="004B0CBB"/>
    <w:rsid w:val="004B20E4"/>
    <w:rsid w:val="004B36CD"/>
    <w:rsid w:val="004C15A8"/>
    <w:rsid w:val="004C5FE5"/>
    <w:rsid w:val="004D58CB"/>
    <w:rsid w:val="004E36A6"/>
    <w:rsid w:val="004E5E66"/>
    <w:rsid w:val="004E7ADB"/>
    <w:rsid w:val="004F4BF2"/>
    <w:rsid w:val="00502C1E"/>
    <w:rsid w:val="00503B4D"/>
    <w:rsid w:val="00504EE9"/>
    <w:rsid w:val="0051289E"/>
    <w:rsid w:val="00521E5C"/>
    <w:rsid w:val="005250E6"/>
    <w:rsid w:val="00526C0E"/>
    <w:rsid w:val="0053077E"/>
    <w:rsid w:val="00530C15"/>
    <w:rsid w:val="0053322D"/>
    <w:rsid w:val="00533231"/>
    <w:rsid w:val="00535156"/>
    <w:rsid w:val="00537B05"/>
    <w:rsid w:val="00541B49"/>
    <w:rsid w:val="00542D23"/>
    <w:rsid w:val="0054442C"/>
    <w:rsid w:val="00550285"/>
    <w:rsid w:val="00551C36"/>
    <w:rsid w:val="00551D1E"/>
    <w:rsid w:val="005535ED"/>
    <w:rsid w:val="005556E6"/>
    <w:rsid w:val="005562F5"/>
    <w:rsid w:val="00562492"/>
    <w:rsid w:val="00564A23"/>
    <w:rsid w:val="00572A20"/>
    <w:rsid w:val="00575AD5"/>
    <w:rsid w:val="0058162C"/>
    <w:rsid w:val="005836F8"/>
    <w:rsid w:val="00583753"/>
    <w:rsid w:val="00584ACE"/>
    <w:rsid w:val="005918FA"/>
    <w:rsid w:val="00592A86"/>
    <w:rsid w:val="005977CB"/>
    <w:rsid w:val="005A3363"/>
    <w:rsid w:val="005A74EE"/>
    <w:rsid w:val="005A7CAE"/>
    <w:rsid w:val="005B4801"/>
    <w:rsid w:val="005B58C6"/>
    <w:rsid w:val="005B7A56"/>
    <w:rsid w:val="005C0771"/>
    <w:rsid w:val="005C23A4"/>
    <w:rsid w:val="005C406F"/>
    <w:rsid w:val="005C6B07"/>
    <w:rsid w:val="005D024E"/>
    <w:rsid w:val="005D1CDF"/>
    <w:rsid w:val="005D2BB7"/>
    <w:rsid w:val="005D6FD3"/>
    <w:rsid w:val="005D7653"/>
    <w:rsid w:val="005E00D3"/>
    <w:rsid w:val="005E3545"/>
    <w:rsid w:val="005E61A8"/>
    <w:rsid w:val="005F6419"/>
    <w:rsid w:val="005F7414"/>
    <w:rsid w:val="006104DD"/>
    <w:rsid w:val="006130B5"/>
    <w:rsid w:val="006151CD"/>
    <w:rsid w:val="00617400"/>
    <w:rsid w:val="0062187A"/>
    <w:rsid w:val="00632D29"/>
    <w:rsid w:val="006517F1"/>
    <w:rsid w:val="00664950"/>
    <w:rsid w:val="0066716E"/>
    <w:rsid w:val="00667A6C"/>
    <w:rsid w:val="006767EC"/>
    <w:rsid w:val="00683220"/>
    <w:rsid w:val="00685DAA"/>
    <w:rsid w:val="00687FA0"/>
    <w:rsid w:val="00691E3A"/>
    <w:rsid w:val="0069405C"/>
    <w:rsid w:val="006A3C11"/>
    <w:rsid w:val="006A3FBB"/>
    <w:rsid w:val="006A4C40"/>
    <w:rsid w:val="006B7010"/>
    <w:rsid w:val="006B724F"/>
    <w:rsid w:val="006C1A64"/>
    <w:rsid w:val="006C3095"/>
    <w:rsid w:val="006C3B20"/>
    <w:rsid w:val="006D1875"/>
    <w:rsid w:val="006D1B43"/>
    <w:rsid w:val="006D28B2"/>
    <w:rsid w:val="006E1151"/>
    <w:rsid w:val="006E1AAB"/>
    <w:rsid w:val="006E53A1"/>
    <w:rsid w:val="006E6311"/>
    <w:rsid w:val="006E7228"/>
    <w:rsid w:val="006F29C9"/>
    <w:rsid w:val="00702C3B"/>
    <w:rsid w:val="007145FF"/>
    <w:rsid w:val="00715B2A"/>
    <w:rsid w:val="00724789"/>
    <w:rsid w:val="007328BC"/>
    <w:rsid w:val="007450F1"/>
    <w:rsid w:val="00751515"/>
    <w:rsid w:val="00754758"/>
    <w:rsid w:val="00755B8B"/>
    <w:rsid w:val="00756648"/>
    <w:rsid w:val="007626B7"/>
    <w:rsid w:val="007649B0"/>
    <w:rsid w:val="007660EC"/>
    <w:rsid w:val="00766244"/>
    <w:rsid w:val="00770221"/>
    <w:rsid w:val="00781628"/>
    <w:rsid w:val="0078212B"/>
    <w:rsid w:val="00784DF6"/>
    <w:rsid w:val="00785232"/>
    <w:rsid w:val="0078561E"/>
    <w:rsid w:val="00786CE4"/>
    <w:rsid w:val="00796383"/>
    <w:rsid w:val="00796B68"/>
    <w:rsid w:val="00797F05"/>
    <w:rsid w:val="007A0C20"/>
    <w:rsid w:val="007A194C"/>
    <w:rsid w:val="007A75B8"/>
    <w:rsid w:val="007B186C"/>
    <w:rsid w:val="007B34BB"/>
    <w:rsid w:val="007B720A"/>
    <w:rsid w:val="007C1696"/>
    <w:rsid w:val="007C3ED0"/>
    <w:rsid w:val="007C4A0F"/>
    <w:rsid w:val="007C5618"/>
    <w:rsid w:val="007C76FD"/>
    <w:rsid w:val="007D7498"/>
    <w:rsid w:val="007F17F6"/>
    <w:rsid w:val="007F318F"/>
    <w:rsid w:val="007F54B9"/>
    <w:rsid w:val="007F7C3E"/>
    <w:rsid w:val="00806A76"/>
    <w:rsid w:val="008110D7"/>
    <w:rsid w:val="00811C9D"/>
    <w:rsid w:val="0081210D"/>
    <w:rsid w:val="0081247C"/>
    <w:rsid w:val="008136A4"/>
    <w:rsid w:val="00816C80"/>
    <w:rsid w:val="00831BF3"/>
    <w:rsid w:val="00841A16"/>
    <w:rsid w:val="00841BCD"/>
    <w:rsid w:val="008422E3"/>
    <w:rsid w:val="00842415"/>
    <w:rsid w:val="00842941"/>
    <w:rsid w:val="00851A8E"/>
    <w:rsid w:val="00852A8F"/>
    <w:rsid w:val="00852CBA"/>
    <w:rsid w:val="0085365B"/>
    <w:rsid w:val="00857971"/>
    <w:rsid w:val="00862E43"/>
    <w:rsid w:val="0086546A"/>
    <w:rsid w:val="00877239"/>
    <w:rsid w:val="008826C1"/>
    <w:rsid w:val="00885845"/>
    <w:rsid w:val="00892E4F"/>
    <w:rsid w:val="008A0675"/>
    <w:rsid w:val="008A1A5C"/>
    <w:rsid w:val="008A1BF7"/>
    <w:rsid w:val="008A5B0E"/>
    <w:rsid w:val="008B0961"/>
    <w:rsid w:val="008B7A41"/>
    <w:rsid w:val="008C1AF3"/>
    <w:rsid w:val="008D02AD"/>
    <w:rsid w:val="008D3811"/>
    <w:rsid w:val="008D63A3"/>
    <w:rsid w:val="0090091A"/>
    <w:rsid w:val="00902917"/>
    <w:rsid w:val="009042BD"/>
    <w:rsid w:val="009062C1"/>
    <w:rsid w:val="009108E5"/>
    <w:rsid w:val="00926155"/>
    <w:rsid w:val="00931EC9"/>
    <w:rsid w:val="00936159"/>
    <w:rsid w:val="00946AC6"/>
    <w:rsid w:val="00946E80"/>
    <w:rsid w:val="00977E1D"/>
    <w:rsid w:val="00982018"/>
    <w:rsid w:val="0098284F"/>
    <w:rsid w:val="009855C3"/>
    <w:rsid w:val="0099335D"/>
    <w:rsid w:val="009A2986"/>
    <w:rsid w:val="009A59E5"/>
    <w:rsid w:val="009B0573"/>
    <w:rsid w:val="009B7C21"/>
    <w:rsid w:val="009C2DE0"/>
    <w:rsid w:val="009C324F"/>
    <w:rsid w:val="00A03EFA"/>
    <w:rsid w:val="00A04992"/>
    <w:rsid w:val="00A147AA"/>
    <w:rsid w:val="00A179B1"/>
    <w:rsid w:val="00A21D71"/>
    <w:rsid w:val="00A21E93"/>
    <w:rsid w:val="00A22B78"/>
    <w:rsid w:val="00A236AF"/>
    <w:rsid w:val="00A24F05"/>
    <w:rsid w:val="00A25AE5"/>
    <w:rsid w:val="00A30D2F"/>
    <w:rsid w:val="00A332D4"/>
    <w:rsid w:val="00A37002"/>
    <w:rsid w:val="00A4274F"/>
    <w:rsid w:val="00A4293A"/>
    <w:rsid w:val="00A4355E"/>
    <w:rsid w:val="00A52C1A"/>
    <w:rsid w:val="00A53847"/>
    <w:rsid w:val="00A54EDA"/>
    <w:rsid w:val="00A609D9"/>
    <w:rsid w:val="00A91D33"/>
    <w:rsid w:val="00AA1B0E"/>
    <w:rsid w:val="00AA47B6"/>
    <w:rsid w:val="00AA6B42"/>
    <w:rsid w:val="00AB4461"/>
    <w:rsid w:val="00AC163B"/>
    <w:rsid w:val="00AC5CA7"/>
    <w:rsid w:val="00AD242E"/>
    <w:rsid w:val="00AD2AEC"/>
    <w:rsid w:val="00AE2BA5"/>
    <w:rsid w:val="00AE2C06"/>
    <w:rsid w:val="00AE3F7C"/>
    <w:rsid w:val="00AE56B1"/>
    <w:rsid w:val="00AE65AA"/>
    <w:rsid w:val="00AE6D09"/>
    <w:rsid w:val="00AF2795"/>
    <w:rsid w:val="00AF6B26"/>
    <w:rsid w:val="00AF7004"/>
    <w:rsid w:val="00AF7A7C"/>
    <w:rsid w:val="00B00BAA"/>
    <w:rsid w:val="00B17C59"/>
    <w:rsid w:val="00B20778"/>
    <w:rsid w:val="00B21114"/>
    <w:rsid w:val="00B27726"/>
    <w:rsid w:val="00B408B6"/>
    <w:rsid w:val="00B542DA"/>
    <w:rsid w:val="00B55F8D"/>
    <w:rsid w:val="00B56D39"/>
    <w:rsid w:val="00B57023"/>
    <w:rsid w:val="00B66B26"/>
    <w:rsid w:val="00B73862"/>
    <w:rsid w:val="00B73F43"/>
    <w:rsid w:val="00B921F4"/>
    <w:rsid w:val="00B93DA4"/>
    <w:rsid w:val="00BA66C1"/>
    <w:rsid w:val="00BA6B66"/>
    <w:rsid w:val="00BA6E48"/>
    <w:rsid w:val="00BB7BB8"/>
    <w:rsid w:val="00BE0AF6"/>
    <w:rsid w:val="00BE1F03"/>
    <w:rsid w:val="00BE3D5C"/>
    <w:rsid w:val="00BE58A7"/>
    <w:rsid w:val="00BF2218"/>
    <w:rsid w:val="00BF41C9"/>
    <w:rsid w:val="00BF4DBB"/>
    <w:rsid w:val="00C02C9B"/>
    <w:rsid w:val="00C0426B"/>
    <w:rsid w:val="00C045DF"/>
    <w:rsid w:val="00C26D43"/>
    <w:rsid w:val="00C30732"/>
    <w:rsid w:val="00C32ADB"/>
    <w:rsid w:val="00C46548"/>
    <w:rsid w:val="00C525BA"/>
    <w:rsid w:val="00C56F24"/>
    <w:rsid w:val="00C574D5"/>
    <w:rsid w:val="00C73932"/>
    <w:rsid w:val="00C73F32"/>
    <w:rsid w:val="00C77BF7"/>
    <w:rsid w:val="00C812E1"/>
    <w:rsid w:val="00C84DD2"/>
    <w:rsid w:val="00C84EB5"/>
    <w:rsid w:val="00C87462"/>
    <w:rsid w:val="00C91E46"/>
    <w:rsid w:val="00CA180C"/>
    <w:rsid w:val="00CA1BCF"/>
    <w:rsid w:val="00CA6F04"/>
    <w:rsid w:val="00CB21EF"/>
    <w:rsid w:val="00CB22B2"/>
    <w:rsid w:val="00CC3EE2"/>
    <w:rsid w:val="00CD2358"/>
    <w:rsid w:val="00CD2546"/>
    <w:rsid w:val="00CD549B"/>
    <w:rsid w:val="00CD7137"/>
    <w:rsid w:val="00CD7492"/>
    <w:rsid w:val="00CE2795"/>
    <w:rsid w:val="00CE3A6B"/>
    <w:rsid w:val="00CF79F0"/>
    <w:rsid w:val="00D00211"/>
    <w:rsid w:val="00D06309"/>
    <w:rsid w:val="00D07A99"/>
    <w:rsid w:val="00D07D14"/>
    <w:rsid w:val="00D14954"/>
    <w:rsid w:val="00D15EF1"/>
    <w:rsid w:val="00D2707C"/>
    <w:rsid w:val="00D273F4"/>
    <w:rsid w:val="00D30B12"/>
    <w:rsid w:val="00D333A9"/>
    <w:rsid w:val="00D33F8F"/>
    <w:rsid w:val="00D351EA"/>
    <w:rsid w:val="00D35DE4"/>
    <w:rsid w:val="00D40288"/>
    <w:rsid w:val="00D43403"/>
    <w:rsid w:val="00D5270B"/>
    <w:rsid w:val="00D570CC"/>
    <w:rsid w:val="00D60082"/>
    <w:rsid w:val="00D62E71"/>
    <w:rsid w:val="00D64105"/>
    <w:rsid w:val="00D6430D"/>
    <w:rsid w:val="00D64CE7"/>
    <w:rsid w:val="00D66188"/>
    <w:rsid w:val="00D731F6"/>
    <w:rsid w:val="00D740CA"/>
    <w:rsid w:val="00D747B4"/>
    <w:rsid w:val="00D77C81"/>
    <w:rsid w:val="00D82999"/>
    <w:rsid w:val="00D85728"/>
    <w:rsid w:val="00D863C1"/>
    <w:rsid w:val="00D93D51"/>
    <w:rsid w:val="00D95481"/>
    <w:rsid w:val="00DA1494"/>
    <w:rsid w:val="00DA7529"/>
    <w:rsid w:val="00DC5173"/>
    <w:rsid w:val="00DC7693"/>
    <w:rsid w:val="00DC7A13"/>
    <w:rsid w:val="00DD461C"/>
    <w:rsid w:val="00DE231E"/>
    <w:rsid w:val="00DE2523"/>
    <w:rsid w:val="00DF1909"/>
    <w:rsid w:val="00DF2997"/>
    <w:rsid w:val="00DF381D"/>
    <w:rsid w:val="00DF3E08"/>
    <w:rsid w:val="00E10BC4"/>
    <w:rsid w:val="00E11A49"/>
    <w:rsid w:val="00E11F8E"/>
    <w:rsid w:val="00E1415D"/>
    <w:rsid w:val="00E32394"/>
    <w:rsid w:val="00E34018"/>
    <w:rsid w:val="00E37F1F"/>
    <w:rsid w:val="00E423D7"/>
    <w:rsid w:val="00E437D2"/>
    <w:rsid w:val="00E4619C"/>
    <w:rsid w:val="00E46659"/>
    <w:rsid w:val="00E50076"/>
    <w:rsid w:val="00E506FD"/>
    <w:rsid w:val="00E55751"/>
    <w:rsid w:val="00E565E5"/>
    <w:rsid w:val="00E635FB"/>
    <w:rsid w:val="00E817DE"/>
    <w:rsid w:val="00E82DF0"/>
    <w:rsid w:val="00E83806"/>
    <w:rsid w:val="00E95B15"/>
    <w:rsid w:val="00EA2311"/>
    <w:rsid w:val="00EA324D"/>
    <w:rsid w:val="00EA6C3C"/>
    <w:rsid w:val="00EA724F"/>
    <w:rsid w:val="00EB0862"/>
    <w:rsid w:val="00EB6D8A"/>
    <w:rsid w:val="00EC3795"/>
    <w:rsid w:val="00EC3B15"/>
    <w:rsid w:val="00EC7BC3"/>
    <w:rsid w:val="00ED034A"/>
    <w:rsid w:val="00ED1BB0"/>
    <w:rsid w:val="00ED7600"/>
    <w:rsid w:val="00EE19E3"/>
    <w:rsid w:val="00EE1F1B"/>
    <w:rsid w:val="00EF6073"/>
    <w:rsid w:val="00EF698B"/>
    <w:rsid w:val="00EF79B9"/>
    <w:rsid w:val="00F105F2"/>
    <w:rsid w:val="00F1362C"/>
    <w:rsid w:val="00F143C4"/>
    <w:rsid w:val="00F15E52"/>
    <w:rsid w:val="00F27CC8"/>
    <w:rsid w:val="00F34B03"/>
    <w:rsid w:val="00F376BA"/>
    <w:rsid w:val="00F414F1"/>
    <w:rsid w:val="00F508B8"/>
    <w:rsid w:val="00F74B18"/>
    <w:rsid w:val="00F8215E"/>
    <w:rsid w:val="00F824F5"/>
    <w:rsid w:val="00F92DB6"/>
    <w:rsid w:val="00F9374D"/>
    <w:rsid w:val="00F95D5A"/>
    <w:rsid w:val="00FA2CDA"/>
    <w:rsid w:val="00FA59E8"/>
    <w:rsid w:val="00FA7AC8"/>
    <w:rsid w:val="00FC29B9"/>
    <w:rsid w:val="00FC6FD3"/>
    <w:rsid w:val="00FD1DA2"/>
    <w:rsid w:val="00FD4F6A"/>
    <w:rsid w:val="00FE305C"/>
    <w:rsid w:val="00FF0301"/>
    <w:rsid w:val="00FF3597"/>
    <w:rsid w:val="00FF6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95A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9B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badi" w:hAnsi="Abad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8422E3"/>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FA2CDA"/>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181112"/>
  </w:style>
  <w:style w:type="paragraph" w:customStyle="1" w:styleId="B1">
    <w:name w:val="B1"/>
    <w:basedOn w:val="List"/>
    <w:link w:val="B1Char"/>
    <w:qFormat/>
    <w:rsid w:val="00257F2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257F2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257F22"/>
    <w:pPr>
      <w:ind w:left="360" w:hanging="360"/>
      <w:contextualSpacing/>
    </w:pPr>
  </w:style>
  <w:style w:type="paragraph" w:styleId="Header">
    <w:name w:val="header"/>
    <w:basedOn w:val="Normal"/>
    <w:link w:val="HeaderChar"/>
    <w:uiPriority w:val="99"/>
    <w:unhideWhenUsed/>
    <w:rsid w:val="007F17F6"/>
    <w:pPr>
      <w:tabs>
        <w:tab w:val="center" w:pos="4819"/>
        <w:tab w:val="right" w:pos="9638"/>
      </w:tabs>
      <w:spacing w:after="0" w:line="240" w:lineRule="auto"/>
    </w:pPr>
  </w:style>
  <w:style w:type="character" w:customStyle="1" w:styleId="HeaderChar">
    <w:name w:val="Header Char"/>
    <w:basedOn w:val="DefaultParagraphFont"/>
    <w:link w:val="Header"/>
    <w:uiPriority w:val="99"/>
    <w:rsid w:val="007F17F6"/>
    <w:rPr>
      <w:rFonts w:ascii="Times New Roman" w:hAnsi="Times New Roman"/>
      <w:sz w:val="20"/>
    </w:rPr>
  </w:style>
  <w:style w:type="paragraph" w:styleId="Footer">
    <w:name w:val="footer"/>
    <w:basedOn w:val="Normal"/>
    <w:link w:val="FooterChar"/>
    <w:uiPriority w:val="99"/>
    <w:unhideWhenUsed/>
    <w:rsid w:val="007F17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7F17F6"/>
    <w:rPr>
      <w:rFonts w:ascii="Times New Roman" w:hAnsi="Times New Roman"/>
      <w:sz w:val="20"/>
    </w:rPr>
  </w:style>
  <w:style w:type="paragraph" w:customStyle="1" w:styleId="B2">
    <w:name w:val="B2"/>
    <w:basedOn w:val="List2"/>
    <w:link w:val="B2Char"/>
    <w:qFormat/>
    <w:rsid w:val="00347229"/>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ko-KR"/>
    </w:rPr>
  </w:style>
  <w:style w:type="character" w:customStyle="1" w:styleId="B2Char">
    <w:name w:val="B2 Char"/>
    <w:link w:val="B2"/>
    <w:qFormat/>
    <w:rsid w:val="00347229"/>
    <w:rPr>
      <w:rFonts w:ascii="Times New Roman" w:eastAsia="Times New Roman" w:hAnsi="Times New Roman" w:cs="Times New Roman"/>
      <w:sz w:val="20"/>
      <w:szCs w:val="20"/>
      <w:lang w:val="en-GB" w:eastAsia="ko-KR"/>
    </w:rPr>
  </w:style>
  <w:style w:type="paragraph" w:styleId="List2">
    <w:name w:val="List 2"/>
    <w:basedOn w:val="Normal"/>
    <w:uiPriority w:val="99"/>
    <w:semiHidden/>
    <w:unhideWhenUsed/>
    <w:rsid w:val="00347229"/>
    <w:pPr>
      <w:ind w:left="720" w:hanging="360"/>
      <w:contextualSpacing/>
    </w:pPr>
  </w:style>
  <w:style w:type="character" w:styleId="PlaceholderText">
    <w:name w:val="Placeholder Text"/>
    <w:basedOn w:val="DefaultParagraphFont"/>
    <w:uiPriority w:val="99"/>
    <w:semiHidden/>
    <w:rsid w:val="00B921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108630">
      <w:bodyDiv w:val="1"/>
      <w:marLeft w:val="0"/>
      <w:marRight w:val="0"/>
      <w:marTop w:val="0"/>
      <w:marBottom w:val="0"/>
      <w:divBdr>
        <w:top w:val="none" w:sz="0" w:space="0" w:color="auto"/>
        <w:left w:val="none" w:sz="0" w:space="0" w:color="auto"/>
        <w:bottom w:val="none" w:sz="0" w:space="0" w:color="auto"/>
        <w:right w:val="none" w:sz="0" w:space="0" w:color="auto"/>
      </w:divBdr>
    </w:div>
    <w:div w:id="1093361772">
      <w:bodyDiv w:val="1"/>
      <w:marLeft w:val="0"/>
      <w:marRight w:val="0"/>
      <w:marTop w:val="0"/>
      <w:marBottom w:val="0"/>
      <w:divBdr>
        <w:top w:val="none" w:sz="0" w:space="0" w:color="auto"/>
        <w:left w:val="none" w:sz="0" w:space="0" w:color="auto"/>
        <w:bottom w:val="none" w:sz="0" w:space="0" w:color="auto"/>
        <w:right w:val="none" w:sz="0" w:space="0" w:color="auto"/>
      </w:divBdr>
      <w:divsChild>
        <w:div w:id="1483427475">
          <w:marLeft w:val="0"/>
          <w:marRight w:val="0"/>
          <w:marTop w:val="0"/>
          <w:marBottom w:val="0"/>
          <w:divBdr>
            <w:top w:val="none" w:sz="0" w:space="0" w:color="auto"/>
            <w:left w:val="none" w:sz="0" w:space="0" w:color="auto"/>
            <w:bottom w:val="none" w:sz="0" w:space="0" w:color="auto"/>
            <w:right w:val="none" w:sz="0" w:space="0" w:color="auto"/>
          </w:divBdr>
        </w:div>
        <w:div w:id="2095777377">
          <w:marLeft w:val="0"/>
          <w:marRight w:val="0"/>
          <w:marTop w:val="0"/>
          <w:marBottom w:val="0"/>
          <w:divBdr>
            <w:top w:val="none" w:sz="0" w:space="0" w:color="auto"/>
            <w:left w:val="none" w:sz="0" w:space="0" w:color="auto"/>
            <w:bottom w:val="none" w:sz="0" w:space="0" w:color="auto"/>
            <w:right w:val="none" w:sz="0" w:space="0" w:color="auto"/>
          </w:divBdr>
        </w:div>
      </w:divsChild>
    </w:div>
    <w:div w:id="1269704472">
      <w:bodyDiv w:val="1"/>
      <w:marLeft w:val="0"/>
      <w:marRight w:val="0"/>
      <w:marTop w:val="0"/>
      <w:marBottom w:val="0"/>
      <w:divBdr>
        <w:top w:val="none" w:sz="0" w:space="0" w:color="auto"/>
        <w:left w:val="none" w:sz="0" w:space="0" w:color="auto"/>
        <w:bottom w:val="none" w:sz="0" w:space="0" w:color="auto"/>
        <w:right w:val="none" w:sz="0" w:space="0" w:color="auto"/>
      </w:divBdr>
    </w:div>
    <w:div w:id="1422796360">
      <w:bodyDiv w:val="1"/>
      <w:marLeft w:val="0"/>
      <w:marRight w:val="0"/>
      <w:marTop w:val="0"/>
      <w:marBottom w:val="0"/>
      <w:divBdr>
        <w:top w:val="none" w:sz="0" w:space="0" w:color="auto"/>
        <w:left w:val="none" w:sz="0" w:space="0" w:color="auto"/>
        <w:bottom w:val="none" w:sz="0" w:space="0" w:color="auto"/>
        <w:right w:val="none" w:sz="0" w:space="0" w:color="auto"/>
      </w:divBdr>
    </w:div>
    <w:div w:id="1506626860">
      <w:bodyDiv w:val="1"/>
      <w:marLeft w:val="0"/>
      <w:marRight w:val="0"/>
      <w:marTop w:val="0"/>
      <w:marBottom w:val="0"/>
      <w:divBdr>
        <w:top w:val="none" w:sz="0" w:space="0" w:color="auto"/>
        <w:left w:val="none" w:sz="0" w:space="0" w:color="auto"/>
        <w:bottom w:val="none" w:sz="0" w:space="0" w:color="auto"/>
        <w:right w:val="none" w:sz="0" w:space="0" w:color="auto"/>
      </w:divBdr>
    </w:div>
    <w:div w:id="1734112830">
      <w:bodyDiv w:val="1"/>
      <w:marLeft w:val="0"/>
      <w:marRight w:val="0"/>
      <w:marTop w:val="0"/>
      <w:marBottom w:val="0"/>
      <w:divBdr>
        <w:top w:val="none" w:sz="0" w:space="0" w:color="auto"/>
        <w:left w:val="none" w:sz="0" w:space="0" w:color="auto"/>
        <w:bottom w:val="none" w:sz="0" w:space="0" w:color="auto"/>
        <w:right w:val="none" w:sz="0" w:space="0" w:color="auto"/>
      </w:divBdr>
    </w:div>
    <w:div w:id="1763985221">
      <w:bodyDiv w:val="1"/>
      <w:marLeft w:val="0"/>
      <w:marRight w:val="0"/>
      <w:marTop w:val="0"/>
      <w:marBottom w:val="0"/>
      <w:divBdr>
        <w:top w:val="none" w:sz="0" w:space="0" w:color="auto"/>
        <w:left w:val="none" w:sz="0" w:space="0" w:color="auto"/>
        <w:bottom w:val="none" w:sz="0" w:space="0" w:color="auto"/>
        <w:right w:val="none" w:sz="0" w:space="0" w:color="auto"/>
      </w:divBdr>
    </w:div>
    <w:div w:id="180342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EA816-6498-4662-86AF-A3CF808C8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2573</Words>
  <Characters>12634</Characters>
  <Application>Microsoft Office Word</Application>
  <DocSecurity>0</DocSecurity>
  <Lines>207</Lines>
  <Paragraphs>117</Paragraphs>
  <ScaleCrop>false</ScaleCrop>
  <Company/>
  <LinksUpToDate>false</LinksUpToDate>
  <CharactersWithSpaces>15090</CharactersWithSpaces>
  <SharedDoc>false</SharedDoc>
  <HLinks>
    <vt:vector size="42" baseType="variant">
      <vt:variant>
        <vt:i4>1245242</vt:i4>
      </vt:variant>
      <vt:variant>
        <vt:i4>50</vt:i4>
      </vt:variant>
      <vt:variant>
        <vt:i4>0</vt:i4>
      </vt:variant>
      <vt:variant>
        <vt:i4>5</vt:i4>
      </vt:variant>
      <vt:variant>
        <vt:lpwstr/>
      </vt:variant>
      <vt:variant>
        <vt:lpwstr>_Toc117754966</vt:lpwstr>
      </vt:variant>
      <vt:variant>
        <vt:i4>1245242</vt:i4>
      </vt:variant>
      <vt:variant>
        <vt:i4>47</vt:i4>
      </vt:variant>
      <vt:variant>
        <vt:i4>0</vt:i4>
      </vt:variant>
      <vt:variant>
        <vt:i4>5</vt:i4>
      </vt:variant>
      <vt:variant>
        <vt:lpwstr/>
      </vt:variant>
      <vt:variant>
        <vt:lpwstr>_Toc117754965</vt:lpwstr>
      </vt:variant>
      <vt:variant>
        <vt:i4>1245242</vt:i4>
      </vt:variant>
      <vt:variant>
        <vt:i4>44</vt:i4>
      </vt:variant>
      <vt:variant>
        <vt:i4>0</vt:i4>
      </vt:variant>
      <vt:variant>
        <vt:i4>5</vt:i4>
      </vt:variant>
      <vt:variant>
        <vt:lpwstr/>
      </vt:variant>
      <vt:variant>
        <vt:lpwstr>_Toc117754964</vt:lpwstr>
      </vt:variant>
      <vt:variant>
        <vt:i4>1245242</vt:i4>
      </vt:variant>
      <vt:variant>
        <vt:i4>41</vt:i4>
      </vt:variant>
      <vt:variant>
        <vt:i4>0</vt:i4>
      </vt:variant>
      <vt:variant>
        <vt:i4>5</vt:i4>
      </vt:variant>
      <vt:variant>
        <vt:lpwstr/>
      </vt:variant>
      <vt:variant>
        <vt:lpwstr>_Toc117754963</vt:lpwstr>
      </vt:variant>
      <vt:variant>
        <vt:i4>1245242</vt:i4>
      </vt:variant>
      <vt:variant>
        <vt:i4>38</vt:i4>
      </vt:variant>
      <vt:variant>
        <vt:i4>0</vt:i4>
      </vt:variant>
      <vt:variant>
        <vt:i4>5</vt:i4>
      </vt:variant>
      <vt:variant>
        <vt:lpwstr/>
      </vt:variant>
      <vt:variant>
        <vt:lpwstr>_Toc117754962</vt:lpwstr>
      </vt:variant>
      <vt:variant>
        <vt:i4>1245242</vt:i4>
      </vt:variant>
      <vt:variant>
        <vt:i4>35</vt:i4>
      </vt:variant>
      <vt:variant>
        <vt:i4>0</vt:i4>
      </vt:variant>
      <vt:variant>
        <vt:i4>5</vt:i4>
      </vt:variant>
      <vt:variant>
        <vt:lpwstr/>
      </vt:variant>
      <vt:variant>
        <vt:lpwstr>_Toc117754961</vt:lpwstr>
      </vt:variant>
      <vt:variant>
        <vt:i4>1245242</vt:i4>
      </vt:variant>
      <vt:variant>
        <vt:i4>32</vt:i4>
      </vt:variant>
      <vt:variant>
        <vt:i4>0</vt:i4>
      </vt:variant>
      <vt:variant>
        <vt:i4>5</vt:i4>
      </vt:variant>
      <vt:variant>
        <vt:lpwstr/>
      </vt:variant>
      <vt:variant>
        <vt:lpwstr>_Toc117754960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2022-11-07T17:47:00Z</dcterms:created>
  <dcterms:modified xsi:type="dcterms:W3CDTF">2022-11-07T17:47:00Z</dcterms:modified>
</cp:coreProperties>
</file>